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3AF" w:rsidRPr="009F03AF" w:rsidRDefault="009F03AF" w:rsidP="009F03AF">
      <w:pPr>
        <w:pStyle w:val="Caption"/>
        <w:jc w:val="left"/>
        <w:rPr>
          <w:sz w:val="22"/>
        </w:rPr>
      </w:pPr>
      <w:bookmarkStart w:id="0" w:name="_Ref386726439"/>
      <w:bookmarkStart w:id="1" w:name="_Toc384890666"/>
      <w:bookmarkStart w:id="2" w:name="_Toc384890681"/>
      <w:bookmarkStart w:id="3" w:name="_Toc387271889"/>
      <w:bookmarkStart w:id="4" w:name="_Toc387936480"/>
    </w:p>
    <w:p w:rsidR="009F03AF" w:rsidRPr="009F03AF" w:rsidRDefault="009F03AF" w:rsidP="009F03AF">
      <w:pPr>
        <w:pStyle w:val="Caption"/>
        <w:rPr>
          <w:color w:val="auto"/>
          <w:sz w:val="22"/>
        </w:rPr>
      </w:pPr>
      <w:r w:rsidRPr="009F03AF">
        <w:rPr>
          <w:color w:val="auto"/>
          <w:sz w:val="22"/>
        </w:rPr>
        <w:t>Federal Appliance and Equipment Standards</w:t>
      </w:r>
    </w:p>
    <w:p w:rsidR="009F03AF" w:rsidRPr="00EF260E" w:rsidRDefault="00A16219" w:rsidP="009F03AF">
      <w:pPr>
        <w:jc w:val="center"/>
        <w:rPr>
          <w:b/>
          <w:bCs/>
          <w:sz w:val="22"/>
          <w:szCs w:val="20"/>
        </w:rPr>
      </w:pPr>
      <w:r>
        <w:rPr>
          <w:b/>
          <w:bCs/>
          <w:sz w:val="22"/>
          <w:szCs w:val="20"/>
        </w:rPr>
        <w:t>July 20</w:t>
      </w:r>
      <w:r w:rsidR="00EF260E" w:rsidRPr="00EF260E">
        <w:rPr>
          <w:b/>
          <w:bCs/>
          <w:sz w:val="22"/>
          <w:szCs w:val="20"/>
        </w:rPr>
        <w:t>th</w:t>
      </w:r>
      <w:r w:rsidR="009F03AF" w:rsidRPr="00EF260E">
        <w:rPr>
          <w:b/>
          <w:bCs/>
          <w:sz w:val="22"/>
          <w:szCs w:val="20"/>
        </w:rPr>
        <w:t>, 2014</w:t>
      </w:r>
    </w:p>
    <w:p w:rsidR="009F03AF" w:rsidRDefault="009F03AF" w:rsidP="009F03AF">
      <w:pPr>
        <w:pStyle w:val="Caption"/>
      </w:pPr>
    </w:p>
    <w:p w:rsidR="009F03AF" w:rsidRPr="009F03AF" w:rsidRDefault="009F03AF" w:rsidP="009F03AF">
      <w:pPr>
        <w:pStyle w:val="Caption"/>
        <w:jc w:val="left"/>
        <w:rPr>
          <w:color w:val="auto"/>
        </w:rPr>
      </w:pPr>
      <w:r w:rsidRPr="009F03AF">
        <w:rPr>
          <w:color w:val="auto"/>
        </w:rPr>
        <w:t>Savin</w:t>
      </w:r>
      <w:r w:rsidR="00DD5D3C">
        <w:rPr>
          <w:color w:val="auto"/>
        </w:rPr>
        <w:t xml:space="preserve">gs </w:t>
      </w:r>
      <w:r w:rsidR="0044064A">
        <w:rPr>
          <w:color w:val="auto"/>
        </w:rPr>
        <w:t xml:space="preserve">from Standards </w:t>
      </w:r>
      <w:r w:rsidR="00DD5D3C">
        <w:rPr>
          <w:color w:val="auto"/>
        </w:rPr>
        <w:t xml:space="preserve">in Residential, Commercial &amp; </w:t>
      </w:r>
      <w:r w:rsidRPr="009F03AF">
        <w:rPr>
          <w:color w:val="auto"/>
        </w:rPr>
        <w:t xml:space="preserve">Industrial Sectors </w:t>
      </w:r>
    </w:p>
    <w:p w:rsidR="009F03AF" w:rsidRDefault="009F03AF" w:rsidP="009F03AF">
      <w:r>
        <w:t>Table 1 and Table 2 summarize standard</w:t>
      </w:r>
      <w:r w:rsidR="0044064A">
        <w:t>s</w:t>
      </w:r>
      <w:r>
        <w:t xml:space="preserve"> savings in the Residential, Commercial &amp; Industrial sectors during and after the Sixth Power Plan time frame.</w:t>
      </w:r>
      <w:r w:rsidR="0044064A">
        <w:t xml:space="preserve"> These savings only include those savings above the Council’s Sixth Power Plan baseline.</w:t>
      </w:r>
    </w:p>
    <w:p w:rsidR="009F03AF" w:rsidRPr="009F03AF" w:rsidRDefault="009F03AF" w:rsidP="009F03AF"/>
    <w:p w:rsidR="009F03AF" w:rsidRDefault="009F03AF" w:rsidP="009F03AF">
      <w:pPr>
        <w:pStyle w:val="Caption"/>
      </w:pPr>
      <w:proofErr w:type="gramStart"/>
      <w:r>
        <w:t xml:space="preserve">Table </w:t>
      </w:r>
      <w:bookmarkEnd w:id="0"/>
      <w:r>
        <w:t>1.</w:t>
      </w:r>
      <w:proofErr w:type="gramEnd"/>
      <w:r>
        <w:t xml:space="preserve"> Residential Standards Savings (</w:t>
      </w:r>
      <w:proofErr w:type="spellStart"/>
      <w:r>
        <w:t>aMW</w:t>
      </w:r>
      <w:bookmarkEnd w:id="1"/>
      <w:bookmarkEnd w:id="2"/>
      <w:bookmarkEnd w:id="3"/>
      <w:proofErr w:type="spellEnd"/>
      <w:r>
        <w:t>)</w:t>
      </w:r>
      <w:bookmarkEnd w:id="4"/>
      <w:r w:rsidR="0044064A">
        <w:t>, above Sixth Plan baseline</w:t>
      </w:r>
      <w:r w:rsidR="00BD19E0">
        <w:t xml:space="preserve">, with </w:t>
      </w:r>
      <w:proofErr w:type="spellStart"/>
      <w:r w:rsidR="00BD19E0">
        <w:t>Busbar</w:t>
      </w:r>
      <w:proofErr w:type="spellEnd"/>
    </w:p>
    <w:tbl>
      <w:tblPr>
        <w:tblStyle w:val="EnergyTable"/>
        <w:tblW w:w="6002" w:type="dxa"/>
        <w:tblLook w:val="04E0" w:firstRow="1" w:lastRow="1" w:firstColumn="1" w:lastColumn="0" w:noHBand="0" w:noVBand="1"/>
      </w:tblPr>
      <w:tblGrid>
        <w:gridCol w:w="2827"/>
        <w:gridCol w:w="1587"/>
        <w:gridCol w:w="1588"/>
      </w:tblGrid>
      <w:tr w:rsidR="0044064A" w:rsidRPr="001C0A87" w:rsidTr="008E03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7" w:type="dxa"/>
            <w:vMerge w:val="restart"/>
            <w:tcBorders>
              <w:top w:val="nil"/>
              <w:right w:val="nil"/>
            </w:tcBorders>
          </w:tcPr>
          <w:p w:rsidR="0044064A" w:rsidRPr="001C0A87" w:rsidRDefault="0044064A" w:rsidP="0050700F">
            <w:pPr>
              <w:keepNext/>
              <w:keepLines/>
              <w:rPr>
                <w:rFonts w:ascii="Arial Narrow" w:hAnsi="Arial Narrow"/>
                <w:szCs w:val="20"/>
              </w:rPr>
            </w:pPr>
            <w:r w:rsidRPr="001C0A87">
              <w:rPr>
                <w:rFonts w:ascii="Arial Narrow" w:hAnsi="Arial Narrow"/>
                <w:szCs w:val="20"/>
              </w:rPr>
              <w:t>Product</w:t>
            </w:r>
          </w:p>
        </w:tc>
        <w:tc>
          <w:tcPr>
            <w:tcW w:w="3175" w:type="dxa"/>
            <w:gridSpan w:val="2"/>
            <w:tcBorders>
              <w:top w:val="nil"/>
              <w:left w:val="nil"/>
              <w:bottom w:val="single" w:sz="8" w:space="0" w:color="DDD9C3"/>
              <w:right w:val="nil"/>
            </w:tcBorders>
          </w:tcPr>
          <w:p w:rsidR="0044064A" w:rsidRPr="001C0A87" w:rsidRDefault="0044064A" w:rsidP="0050700F">
            <w:pPr>
              <w:keepNext/>
              <w:keepLine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Cs w:val="20"/>
              </w:rPr>
            </w:pPr>
            <w:r w:rsidRPr="001C0A87">
              <w:rPr>
                <w:rFonts w:ascii="Arial Narrow" w:hAnsi="Arial Narrow"/>
                <w:szCs w:val="20"/>
              </w:rPr>
              <w:t>Region</w:t>
            </w:r>
          </w:p>
        </w:tc>
      </w:tr>
      <w:tr w:rsidR="0044064A" w:rsidRPr="001C0A87" w:rsidTr="008E03C6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7" w:type="dxa"/>
            <w:vMerge/>
            <w:tcBorders>
              <w:bottom w:val="single" w:sz="8" w:space="0" w:color="365F91" w:themeColor="accent1" w:themeShade="BF"/>
              <w:right w:val="nil"/>
            </w:tcBorders>
            <w:shd w:val="clear" w:color="auto" w:fill="C4BC96" w:themeFill="background2" w:themeFillShade="BF"/>
          </w:tcPr>
          <w:p w:rsidR="0044064A" w:rsidRPr="001C0A87" w:rsidRDefault="0044064A" w:rsidP="0050700F">
            <w:pPr>
              <w:keepNext/>
              <w:keepLines/>
              <w:rPr>
                <w:rFonts w:ascii="Arial Narrow" w:hAnsi="Arial Narrow"/>
                <w:szCs w:val="20"/>
              </w:rPr>
            </w:pPr>
          </w:p>
        </w:tc>
        <w:tc>
          <w:tcPr>
            <w:tcW w:w="1587" w:type="dxa"/>
            <w:tcBorders>
              <w:top w:val="single" w:sz="8" w:space="0" w:color="DDD9C3"/>
              <w:left w:val="nil"/>
              <w:bottom w:val="single" w:sz="8" w:space="0" w:color="365F91" w:themeColor="accent1" w:themeShade="BF"/>
              <w:right w:val="nil"/>
            </w:tcBorders>
            <w:shd w:val="clear" w:color="auto" w:fill="C4BC96" w:themeFill="background2" w:themeFillShade="BF"/>
          </w:tcPr>
          <w:p w:rsidR="0044064A" w:rsidRPr="001C0A87" w:rsidRDefault="0044064A" w:rsidP="0050700F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color w:val="FFFFFF" w:themeColor="background1"/>
                <w:szCs w:val="20"/>
              </w:rPr>
            </w:pPr>
            <w:r w:rsidRPr="001C0A87">
              <w:rPr>
                <w:rFonts w:ascii="Arial Narrow" w:hAnsi="Arial Narrow"/>
                <w:b/>
                <w:color w:val="FFFFFF" w:themeColor="background1"/>
                <w:szCs w:val="20"/>
              </w:rPr>
              <w:t>2010-201</w:t>
            </w:r>
            <w:r>
              <w:rPr>
                <w:rFonts w:ascii="Arial Narrow" w:hAnsi="Arial Narrow"/>
                <w:b/>
                <w:color w:val="FFFFFF" w:themeColor="background1"/>
                <w:szCs w:val="20"/>
              </w:rPr>
              <w:t>5</w:t>
            </w:r>
          </w:p>
        </w:tc>
        <w:tc>
          <w:tcPr>
            <w:tcW w:w="1588" w:type="dxa"/>
            <w:tcBorders>
              <w:top w:val="single" w:sz="8" w:space="0" w:color="DDD9C3"/>
              <w:left w:val="nil"/>
              <w:bottom w:val="single" w:sz="8" w:space="0" w:color="365F91" w:themeColor="accent1" w:themeShade="BF"/>
              <w:right w:val="nil"/>
            </w:tcBorders>
            <w:shd w:val="clear" w:color="auto" w:fill="C4BC96" w:themeFill="background2" w:themeFillShade="BF"/>
          </w:tcPr>
          <w:p w:rsidR="0044064A" w:rsidRPr="001C0A87" w:rsidRDefault="0044064A" w:rsidP="009F03AF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color w:val="FFFFFF" w:themeColor="background1"/>
                <w:szCs w:val="20"/>
              </w:rPr>
            </w:pPr>
            <w:r w:rsidRPr="001C0A87">
              <w:rPr>
                <w:rFonts w:ascii="Arial Narrow" w:hAnsi="Arial Narrow"/>
                <w:b/>
                <w:color w:val="FFFFFF" w:themeColor="background1"/>
                <w:szCs w:val="20"/>
              </w:rPr>
              <w:t>201</w:t>
            </w:r>
            <w:r>
              <w:rPr>
                <w:rFonts w:ascii="Arial Narrow" w:hAnsi="Arial Narrow"/>
                <w:b/>
                <w:color w:val="FFFFFF" w:themeColor="background1"/>
                <w:szCs w:val="20"/>
              </w:rPr>
              <w:t>6</w:t>
            </w:r>
            <w:r w:rsidRPr="001C0A87">
              <w:rPr>
                <w:rFonts w:ascii="Arial Narrow" w:hAnsi="Arial Narrow"/>
                <w:b/>
                <w:color w:val="FFFFFF" w:themeColor="background1"/>
                <w:szCs w:val="20"/>
              </w:rPr>
              <w:t>-2034</w:t>
            </w:r>
          </w:p>
        </w:tc>
      </w:tr>
      <w:tr w:rsidR="0044064A" w:rsidRPr="001C0A87" w:rsidTr="008E03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7" w:type="dxa"/>
            <w:tcBorders>
              <w:top w:val="single" w:sz="8" w:space="0" w:color="365F91" w:themeColor="accent1" w:themeShade="BF"/>
              <w:bottom w:val="nil"/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Residential Dishwashers</w:t>
            </w:r>
          </w:p>
        </w:tc>
        <w:tc>
          <w:tcPr>
            <w:tcW w:w="1587" w:type="dxa"/>
            <w:tcBorders>
              <w:top w:val="single" w:sz="8" w:space="0" w:color="365F91" w:themeColor="accent1" w:themeShade="BF"/>
              <w:left w:val="single" w:sz="8" w:space="0" w:color="92876D"/>
              <w:bottom w:val="nil"/>
              <w:right w:val="nil"/>
            </w:tcBorders>
          </w:tcPr>
          <w:p w:rsidR="0044064A" w:rsidRPr="001C0A87" w:rsidRDefault="0044064A" w:rsidP="00EF260E">
            <w:pPr>
              <w:keepNext/>
              <w:keepLine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>
              <w:rPr>
                <w:rFonts w:ascii="Arial Narrow" w:hAnsi="Arial Narrow"/>
                <w:noProof/>
                <w:szCs w:val="20"/>
              </w:rPr>
              <w:t>1.</w:t>
            </w:r>
            <w:r w:rsidR="00EF260E">
              <w:rPr>
                <w:rFonts w:ascii="Arial Narrow" w:hAnsi="Arial Narrow"/>
                <w:noProof/>
                <w:szCs w:val="20"/>
              </w:rPr>
              <w:t>45</w:t>
            </w:r>
          </w:p>
        </w:tc>
        <w:tc>
          <w:tcPr>
            <w:tcW w:w="1588" w:type="dxa"/>
            <w:tcBorders>
              <w:top w:val="single" w:sz="8" w:space="0" w:color="365F91" w:themeColor="accent1" w:themeShade="BF"/>
              <w:left w:val="nil"/>
              <w:bottom w:val="nil"/>
              <w:right w:val="single" w:sz="8" w:space="0" w:color="92876D"/>
            </w:tcBorders>
          </w:tcPr>
          <w:p w:rsidR="0044064A" w:rsidRPr="001C0A87" w:rsidRDefault="00EF260E" w:rsidP="0050700F">
            <w:pPr>
              <w:keepNext/>
              <w:keepLine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>
              <w:rPr>
                <w:rFonts w:ascii="Arial Narrow" w:hAnsi="Arial Narrow"/>
                <w:noProof/>
                <w:szCs w:val="20"/>
              </w:rPr>
              <w:t>6.85</w:t>
            </w:r>
          </w:p>
        </w:tc>
      </w:tr>
      <w:tr w:rsidR="0044064A" w:rsidRPr="001C0A87" w:rsidTr="008E03C6">
        <w:trPr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7" w:type="dxa"/>
            <w:tcBorders>
              <w:top w:val="nil"/>
              <w:bottom w:val="nil"/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Residential Refrigerators</w:t>
            </w:r>
          </w:p>
        </w:tc>
        <w:tc>
          <w:tcPr>
            <w:tcW w:w="1587" w:type="dxa"/>
            <w:tcBorders>
              <w:top w:val="nil"/>
              <w:left w:val="single" w:sz="8" w:space="0" w:color="92876D"/>
              <w:bottom w:val="nil"/>
              <w:right w:val="nil"/>
            </w:tcBorders>
          </w:tcPr>
          <w:p w:rsidR="0044064A" w:rsidRPr="001C0A87" w:rsidRDefault="00EF260E" w:rsidP="00EF260E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>
              <w:rPr>
                <w:rFonts w:ascii="Arial Narrow" w:hAnsi="Arial Narrow"/>
                <w:noProof/>
                <w:szCs w:val="20"/>
              </w:rPr>
              <w:t>8.03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8" w:space="0" w:color="92876D"/>
            </w:tcBorders>
          </w:tcPr>
          <w:p w:rsidR="0044064A" w:rsidRPr="001C0A87" w:rsidRDefault="00EF260E" w:rsidP="0050700F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>
              <w:rPr>
                <w:rFonts w:ascii="Arial Narrow" w:hAnsi="Arial Narrow"/>
                <w:noProof/>
                <w:szCs w:val="20"/>
              </w:rPr>
              <w:t>140.12</w:t>
            </w:r>
          </w:p>
        </w:tc>
      </w:tr>
      <w:tr w:rsidR="0044064A" w:rsidRPr="001C0A87" w:rsidTr="008E03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7" w:type="dxa"/>
            <w:tcBorders>
              <w:top w:val="nil"/>
              <w:bottom w:val="nil"/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Residential Freezers</w:t>
            </w:r>
          </w:p>
        </w:tc>
        <w:tc>
          <w:tcPr>
            <w:tcW w:w="1587" w:type="dxa"/>
            <w:tcBorders>
              <w:top w:val="nil"/>
              <w:left w:val="single" w:sz="8" w:space="0" w:color="92876D"/>
              <w:bottom w:val="nil"/>
              <w:right w:val="nil"/>
            </w:tcBorders>
          </w:tcPr>
          <w:p w:rsidR="0044064A" w:rsidRPr="001C0A87" w:rsidRDefault="0044064A" w:rsidP="00EF260E">
            <w:pPr>
              <w:keepNext/>
              <w:keepLine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>
              <w:rPr>
                <w:rFonts w:ascii="Arial Narrow" w:hAnsi="Arial Narrow"/>
                <w:noProof/>
                <w:szCs w:val="20"/>
              </w:rPr>
              <w:t>1.</w:t>
            </w:r>
            <w:r w:rsidR="00EF260E">
              <w:rPr>
                <w:rFonts w:ascii="Arial Narrow" w:hAnsi="Arial Narrow"/>
                <w:noProof/>
                <w:szCs w:val="20"/>
              </w:rPr>
              <w:t>45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8" w:space="0" w:color="92876D"/>
            </w:tcBorders>
          </w:tcPr>
          <w:p w:rsidR="0044064A" w:rsidRPr="001C0A87" w:rsidRDefault="00EF260E" w:rsidP="0050700F">
            <w:pPr>
              <w:keepNext/>
              <w:keepLine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>
              <w:rPr>
                <w:rFonts w:ascii="Arial Narrow" w:hAnsi="Arial Narrow"/>
                <w:noProof/>
                <w:szCs w:val="20"/>
              </w:rPr>
              <w:t>30.48</w:t>
            </w:r>
          </w:p>
        </w:tc>
      </w:tr>
      <w:tr w:rsidR="0044064A" w:rsidRPr="001C0A87" w:rsidTr="008E03C6">
        <w:trPr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7" w:type="dxa"/>
            <w:tcBorders>
              <w:top w:val="nil"/>
              <w:bottom w:val="nil"/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External Power Supplies</w:t>
            </w:r>
          </w:p>
        </w:tc>
        <w:tc>
          <w:tcPr>
            <w:tcW w:w="1587" w:type="dxa"/>
            <w:tcBorders>
              <w:top w:val="nil"/>
              <w:left w:val="single" w:sz="8" w:space="0" w:color="92876D"/>
              <w:bottom w:val="nil"/>
              <w:right w:val="nil"/>
            </w:tcBorders>
          </w:tcPr>
          <w:p w:rsidR="0044064A" w:rsidRPr="001C0A87" w:rsidRDefault="0044064A" w:rsidP="00EF260E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0.0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0.0</w:t>
            </w:r>
          </w:p>
        </w:tc>
      </w:tr>
      <w:tr w:rsidR="0044064A" w:rsidRPr="001C0A87" w:rsidTr="008E03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7" w:type="dxa"/>
            <w:tcBorders>
              <w:top w:val="nil"/>
              <w:bottom w:val="nil"/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Residential Clothes Washers</w:t>
            </w:r>
          </w:p>
        </w:tc>
        <w:tc>
          <w:tcPr>
            <w:tcW w:w="1587" w:type="dxa"/>
            <w:tcBorders>
              <w:top w:val="nil"/>
              <w:left w:val="single" w:sz="8" w:space="0" w:color="92876D"/>
              <w:bottom w:val="nil"/>
              <w:right w:val="nil"/>
            </w:tcBorders>
          </w:tcPr>
          <w:p w:rsidR="0044064A" w:rsidRPr="001C0A87" w:rsidRDefault="0044064A" w:rsidP="00EF260E">
            <w:pPr>
              <w:keepNext/>
              <w:keepLine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0.0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0.0</w:t>
            </w:r>
          </w:p>
        </w:tc>
      </w:tr>
      <w:tr w:rsidR="0044064A" w:rsidRPr="001C0A87" w:rsidTr="008E03C6">
        <w:trPr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7" w:type="dxa"/>
            <w:tcBorders>
              <w:top w:val="nil"/>
              <w:bottom w:val="nil"/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Residential Water Heaters</w:t>
            </w:r>
          </w:p>
        </w:tc>
        <w:tc>
          <w:tcPr>
            <w:tcW w:w="1587" w:type="dxa"/>
            <w:tcBorders>
              <w:top w:val="nil"/>
              <w:left w:val="single" w:sz="8" w:space="0" w:color="92876D"/>
              <w:bottom w:val="nil"/>
              <w:right w:val="nil"/>
            </w:tcBorders>
          </w:tcPr>
          <w:p w:rsidR="0044064A" w:rsidRPr="001C0A87" w:rsidRDefault="00EF260E" w:rsidP="00EF260E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>
              <w:rPr>
                <w:rFonts w:ascii="Arial Narrow" w:hAnsi="Arial Narrow"/>
                <w:noProof/>
                <w:szCs w:val="20"/>
              </w:rPr>
              <w:t>15.50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8" w:space="0" w:color="92876D"/>
            </w:tcBorders>
          </w:tcPr>
          <w:p w:rsidR="0044064A" w:rsidRPr="001C0A87" w:rsidRDefault="00EF260E" w:rsidP="0050700F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>
              <w:rPr>
                <w:rFonts w:ascii="Arial Narrow" w:hAnsi="Arial Narrow"/>
                <w:noProof/>
                <w:szCs w:val="20"/>
              </w:rPr>
              <w:t>198.50</w:t>
            </w:r>
          </w:p>
        </w:tc>
      </w:tr>
      <w:tr w:rsidR="0044064A" w:rsidRPr="001C0A87" w:rsidTr="008E03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7" w:type="dxa"/>
            <w:tcBorders>
              <w:top w:val="nil"/>
              <w:bottom w:val="nil"/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Ceiling Fan Lighting Kits</w:t>
            </w:r>
          </w:p>
        </w:tc>
        <w:tc>
          <w:tcPr>
            <w:tcW w:w="1587" w:type="dxa"/>
            <w:tcBorders>
              <w:top w:val="nil"/>
              <w:left w:val="single" w:sz="8" w:space="0" w:color="92876D"/>
              <w:bottom w:val="nil"/>
              <w:right w:val="nil"/>
            </w:tcBorders>
          </w:tcPr>
          <w:p w:rsidR="0044064A" w:rsidRPr="001C0A87" w:rsidRDefault="0044064A" w:rsidP="00EF260E">
            <w:pPr>
              <w:keepNext/>
              <w:keepLine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>
              <w:rPr>
                <w:rFonts w:ascii="Arial Narrow" w:hAnsi="Arial Narrow"/>
                <w:noProof/>
                <w:szCs w:val="20"/>
              </w:rPr>
              <w:t>3.</w:t>
            </w:r>
            <w:r w:rsidR="00EF260E">
              <w:rPr>
                <w:rFonts w:ascii="Arial Narrow" w:hAnsi="Arial Narrow"/>
                <w:noProof/>
                <w:szCs w:val="20"/>
              </w:rPr>
              <w:t>75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8" w:space="0" w:color="92876D"/>
            </w:tcBorders>
          </w:tcPr>
          <w:p w:rsidR="0044064A" w:rsidRPr="001C0A87" w:rsidRDefault="0044064A" w:rsidP="00EF260E">
            <w:pPr>
              <w:keepNext/>
              <w:keepLine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4.</w:t>
            </w:r>
            <w:r w:rsidR="00EF260E">
              <w:rPr>
                <w:rFonts w:ascii="Arial Narrow" w:hAnsi="Arial Narrow"/>
                <w:noProof/>
                <w:szCs w:val="20"/>
              </w:rPr>
              <w:t>63</w:t>
            </w:r>
          </w:p>
        </w:tc>
      </w:tr>
      <w:tr w:rsidR="0044064A" w:rsidRPr="001C0A87" w:rsidTr="008E03C6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7" w:type="dxa"/>
            <w:tcBorders>
              <w:top w:val="nil"/>
              <w:bottom w:val="nil"/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 xml:space="preserve">Torchieres </w:t>
            </w:r>
          </w:p>
        </w:tc>
        <w:tc>
          <w:tcPr>
            <w:tcW w:w="1587" w:type="dxa"/>
            <w:tcBorders>
              <w:top w:val="nil"/>
              <w:left w:val="single" w:sz="8" w:space="0" w:color="92876D"/>
              <w:bottom w:val="nil"/>
              <w:right w:val="nil"/>
            </w:tcBorders>
          </w:tcPr>
          <w:p w:rsidR="0044064A" w:rsidRPr="001C0A87" w:rsidRDefault="0044064A" w:rsidP="00EF260E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2.</w:t>
            </w:r>
            <w:r w:rsidR="00EF260E">
              <w:rPr>
                <w:rFonts w:ascii="Arial Narrow" w:hAnsi="Arial Narrow"/>
                <w:noProof/>
                <w:szCs w:val="20"/>
              </w:rPr>
              <w:t>91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8" w:space="0" w:color="92876D"/>
            </w:tcBorders>
          </w:tcPr>
          <w:p w:rsidR="0044064A" w:rsidRPr="001C0A87" w:rsidRDefault="0044064A" w:rsidP="00EF260E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1.</w:t>
            </w:r>
            <w:r w:rsidR="00EF260E">
              <w:rPr>
                <w:rFonts w:ascii="Arial Narrow" w:hAnsi="Arial Narrow"/>
                <w:noProof/>
                <w:szCs w:val="20"/>
              </w:rPr>
              <w:t>21</w:t>
            </w:r>
          </w:p>
        </w:tc>
      </w:tr>
      <w:tr w:rsidR="0044064A" w:rsidRPr="001C0A87" w:rsidTr="008E03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7" w:type="dxa"/>
            <w:tcBorders>
              <w:top w:val="nil"/>
              <w:bottom w:val="double" w:sz="4" w:space="0" w:color="92876D"/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Residential Heat Pumps</w:t>
            </w:r>
          </w:p>
        </w:tc>
        <w:tc>
          <w:tcPr>
            <w:tcW w:w="1587" w:type="dxa"/>
            <w:tcBorders>
              <w:top w:val="nil"/>
              <w:left w:val="single" w:sz="8" w:space="0" w:color="92876D"/>
              <w:bottom w:val="double" w:sz="4" w:space="0" w:color="92876D"/>
              <w:right w:val="nil"/>
            </w:tcBorders>
          </w:tcPr>
          <w:p w:rsidR="0044064A" w:rsidRPr="001C0A87" w:rsidRDefault="0044064A" w:rsidP="00EF260E">
            <w:pPr>
              <w:keepNext/>
              <w:keepLine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>
              <w:rPr>
                <w:rFonts w:ascii="Arial Narrow" w:hAnsi="Arial Narrow"/>
                <w:noProof/>
                <w:szCs w:val="20"/>
              </w:rPr>
              <w:t>1.</w:t>
            </w:r>
            <w:r w:rsidR="00EF260E">
              <w:rPr>
                <w:rFonts w:ascii="Arial Narrow" w:hAnsi="Arial Narrow"/>
                <w:noProof/>
                <w:szCs w:val="20"/>
              </w:rPr>
              <w:t>31</w:t>
            </w:r>
          </w:p>
        </w:tc>
        <w:tc>
          <w:tcPr>
            <w:tcW w:w="1588" w:type="dxa"/>
            <w:tcBorders>
              <w:top w:val="nil"/>
              <w:left w:val="nil"/>
              <w:bottom w:val="double" w:sz="4" w:space="0" w:color="92876D"/>
              <w:right w:val="single" w:sz="8" w:space="0" w:color="92876D"/>
            </w:tcBorders>
          </w:tcPr>
          <w:p w:rsidR="0044064A" w:rsidRPr="001C0A87" w:rsidRDefault="00EF260E" w:rsidP="0050700F">
            <w:pPr>
              <w:keepNext/>
              <w:keepLine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>
              <w:rPr>
                <w:rFonts w:ascii="Arial Narrow" w:hAnsi="Arial Narrow"/>
                <w:noProof/>
                <w:szCs w:val="20"/>
              </w:rPr>
              <w:t>22.19</w:t>
            </w:r>
          </w:p>
        </w:tc>
      </w:tr>
      <w:tr w:rsidR="0044064A" w:rsidRPr="001C0A87" w:rsidTr="008E03C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7" w:type="dxa"/>
            <w:tcBorders>
              <w:bottom w:val="single" w:sz="8" w:space="0" w:color="92876D"/>
              <w:right w:val="nil"/>
            </w:tcBorders>
          </w:tcPr>
          <w:p w:rsidR="0044064A" w:rsidRPr="001C0A87" w:rsidRDefault="0044064A" w:rsidP="0050700F">
            <w:pPr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Total Residential</w:t>
            </w:r>
          </w:p>
        </w:tc>
        <w:tc>
          <w:tcPr>
            <w:tcW w:w="1587" w:type="dxa"/>
            <w:tcBorders>
              <w:left w:val="nil"/>
              <w:bottom w:val="single" w:sz="8" w:space="0" w:color="92876D"/>
              <w:right w:val="nil"/>
            </w:tcBorders>
          </w:tcPr>
          <w:p w:rsidR="0044064A" w:rsidRPr="001C0A87" w:rsidRDefault="00EF260E" w:rsidP="0050700F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>
              <w:rPr>
                <w:rFonts w:ascii="Arial Narrow" w:hAnsi="Arial Narrow"/>
                <w:noProof/>
                <w:szCs w:val="20"/>
              </w:rPr>
              <w:t>34.40</w:t>
            </w:r>
          </w:p>
        </w:tc>
        <w:tc>
          <w:tcPr>
            <w:tcW w:w="1588" w:type="dxa"/>
            <w:tcBorders>
              <w:left w:val="nil"/>
              <w:bottom w:val="single" w:sz="8" w:space="0" w:color="92876D"/>
              <w:right w:val="nil"/>
            </w:tcBorders>
          </w:tcPr>
          <w:p w:rsidR="0044064A" w:rsidRPr="001C0A87" w:rsidRDefault="00EF260E" w:rsidP="0050700F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>
              <w:rPr>
                <w:rFonts w:ascii="Arial Narrow" w:hAnsi="Arial Narrow"/>
                <w:noProof/>
                <w:szCs w:val="20"/>
              </w:rPr>
              <w:t>403.98</w:t>
            </w:r>
          </w:p>
        </w:tc>
      </w:tr>
    </w:tbl>
    <w:p w:rsidR="009F03AF" w:rsidRDefault="009F03AF"/>
    <w:p w:rsidR="009F03AF" w:rsidRDefault="009F03AF" w:rsidP="009F03AF">
      <w:pPr>
        <w:pStyle w:val="Caption"/>
      </w:pPr>
      <w:bookmarkStart w:id="5" w:name="_Ref386753788"/>
      <w:bookmarkStart w:id="6" w:name="_Toc384890670"/>
      <w:bookmarkStart w:id="7" w:name="_Toc384890685"/>
      <w:bookmarkStart w:id="8" w:name="_Toc387271890"/>
      <w:bookmarkStart w:id="9" w:name="_Toc387936481"/>
      <w:proofErr w:type="gramStart"/>
      <w:r>
        <w:t xml:space="preserve">Table </w:t>
      </w:r>
      <w:bookmarkEnd w:id="5"/>
      <w:r>
        <w:t>2.</w:t>
      </w:r>
      <w:proofErr w:type="gramEnd"/>
      <w:r>
        <w:t xml:space="preserve"> Commercial/Industrial Standards Savings (</w:t>
      </w:r>
      <w:proofErr w:type="spellStart"/>
      <w:r>
        <w:t>aMW</w:t>
      </w:r>
      <w:proofErr w:type="spellEnd"/>
      <w:proofErr w:type="gramStart"/>
      <w:r>
        <w:t>)</w:t>
      </w:r>
      <w:bookmarkEnd w:id="6"/>
      <w:bookmarkEnd w:id="7"/>
      <w:bookmarkEnd w:id="8"/>
      <w:bookmarkEnd w:id="9"/>
      <w:r w:rsidR="0044064A" w:rsidRPr="0044064A">
        <w:t xml:space="preserve"> </w:t>
      </w:r>
      <w:r w:rsidR="0044064A">
        <w:t>,</w:t>
      </w:r>
      <w:proofErr w:type="gramEnd"/>
      <w:r w:rsidR="0044064A">
        <w:t xml:space="preserve"> above Sixth Plan baseline</w:t>
      </w:r>
      <w:r w:rsidR="00BD19E0">
        <w:t xml:space="preserve">, with </w:t>
      </w:r>
      <w:proofErr w:type="spellStart"/>
      <w:r w:rsidR="00BD19E0">
        <w:t>Busbar</w:t>
      </w:r>
      <w:proofErr w:type="spellEnd"/>
      <w:r w:rsidR="00BD19E0">
        <w:t xml:space="preserve"> </w:t>
      </w:r>
    </w:p>
    <w:tbl>
      <w:tblPr>
        <w:tblStyle w:val="EnergyTable"/>
        <w:tblW w:w="0" w:type="auto"/>
        <w:tblLook w:val="04E0" w:firstRow="1" w:lastRow="1" w:firstColumn="1" w:lastColumn="0" w:noHBand="0" w:noVBand="1"/>
      </w:tblPr>
      <w:tblGrid>
        <w:gridCol w:w="3730"/>
        <w:gridCol w:w="1364"/>
        <w:gridCol w:w="1364"/>
      </w:tblGrid>
      <w:tr w:rsidR="0044064A" w:rsidRPr="001C0A87" w:rsidTr="005070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0" w:type="dxa"/>
            <w:vMerge w:val="restart"/>
          </w:tcPr>
          <w:p w:rsidR="0044064A" w:rsidRPr="001C0A87" w:rsidRDefault="0044064A" w:rsidP="0050700F">
            <w:pPr>
              <w:keepNext/>
              <w:keepLines/>
              <w:rPr>
                <w:rFonts w:ascii="Arial Narrow" w:hAnsi="Arial Narrow"/>
                <w:szCs w:val="20"/>
              </w:rPr>
            </w:pPr>
            <w:r w:rsidRPr="001C0A87">
              <w:rPr>
                <w:rFonts w:ascii="Arial Narrow" w:hAnsi="Arial Narrow"/>
                <w:szCs w:val="20"/>
              </w:rPr>
              <w:t>Product</w:t>
            </w:r>
          </w:p>
        </w:tc>
        <w:tc>
          <w:tcPr>
            <w:tcW w:w="2728" w:type="dxa"/>
            <w:gridSpan w:val="2"/>
            <w:tcBorders>
              <w:bottom w:val="single" w:sz="8" w:space="0" w:color="DDD9C3"/>
            </w:tcBorders>
          </w:tcPr>
          <w:p w:rsidR="0044064A" w:rsidRPr="001C0A87" w:rsidRDefault="0044064A" w:rsidP="0050700F">
            <w:pPr>
              <w:keepNext/>
              <w:keepLine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Cs w:val="20"/>
              </w:rPr>
            </w:pPr>
            <w:r w:rsidRPr="001C0A87">
              <w:rPr>
                <w:rFonts w:ascii="Arial Narrow" w:hAnsi="Arial Narrow"/>
                <w:szCs w:val="20"/>
              </w:rPr>
              <w:t>Region</w:t>
            </w:r>
          </w:p>
        </w:tc>
      </w:tr>
      <w:tr w:rsidR="0044064A" w:rsidRPr="001C0A87" w:rsidTr="0050700F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0" w:type="dxa"/>
            <w:vMerge/>
            <w:tcBorders>
              <w:bottom w:val="single" w:sz="8" w:space="0" w:color="365F91" w:themeColor="accent1" w:themeShade="BF"/>
            </w:tcBorders>
            <w:shd w:val="clear" w:color="auto" w:fill="C4BC96" w:themeFill="background2" w:themeFillShade="BF"/>
          </w:tcPr>
          <w:p w:rsidR="0044064A" w:rsidRPr="001C0A87" w:rsidRDefault="0044064A" w:rsidP="0050700F">
            <w:pPr>
              <w:keepNext/>
              <w:keepLines/>
              <w:rPr>
                <w:rFonts w:ascii="Arial Narrow" w:hAnsi="Arial Narrow"/>
                <w:b/>
                <w:color w:val="FFFFFF" w:themeColor="background1"/>
                <w:szCs w:val="20"/>
              </w:rPr>
            </w:pPr>
          </w:p>
        </w:tc>
        <w:tc>
          <w:tcPr>
            <w:tcW w:w="1364" w:type="dxa"/>
            <w:tcBorders>
              <w:bottom w:val="single" w:sz="8" w:space="0" w:color="365F91" w:themeColor="accent1" w:themeShade="BF"/>
            </w:tcBorders>
            <w:shd w:val="clear" w:color="auto" w:fill="C4BC96" w:themeFill="background2" w:themeFillShade="BF"/>
          </w:tcPr>
          <w:p w:rsidR="0044064A" w:rsidRPr="001C0A87" w:rsidRDefault="0044064A" w:rsidP="0050700F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color w:val="FFFFFF" w:themeColor="background1"/>
                <w:szCs w:val="20"/>
              </w:rPr>
            </w:pPr>
            <w:r>
              <w:rPr>
                <w:rFonts w:ascii="Arial Narrow" w:hAnsi="Arial Narrow"/>
                <w:b/>
                <w:color w:val="FFFFFF" w:themeColor="background1"/>
                <w:szCs w:val="20"/>
              </w:rPr>
              <w:t>2010-2015</w:t>
            </w:r>
          </w:p>
        </w:tc>
        <w:tc>
          <w:tcPr>
            <w:tcW w:w="1364" w:type="dxa"/>
            <w:tcBorders>
              <w:bottom w:val="single" w:sz="8" w:space="0" w:color="365F91" w:themeColor="accent1" w:themeShade="BF"/>
            </w:tcBorders>
            <w:shd w:val="clear" w:color="auto" w:fill="C4BC96" w:themeFill="background2" w:themeFillShade="BF"/>
          </w:tcPr>
          <w:p w:rsidR="0044064A" w:rsidRPr="001C0A87" w:rsidRDefault="0044064A" w:rsidP="009F03AF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color w:val="FFFFFF" w:themeColor="background1"/>
                <w:szCs w:val="20"/>
              </w:rPr>
            </w:pPr>
            <w:r w:rsidRPr="001C0A87">
              <w:rPr>
                <w:rFonts w:ascii="Arial Narrow" w:hAnsi="Arial Narrow"/>
                <w:b/>
                <w:color w:val="FFFFFF" w:themeColor="background1"/>
                <w:szCs w:val="20"/>
              </w:rPr>
              <w:t>201</w:t>
            </w:r>
            <w:r>
              <w:rPr>
                <w:rFonts w:ascii="Arial Narrow" w:hAnsi="Arial Narrow"/>
                <w:b/>
                <w:color w:val="FFFFFF" w:themeColor="background1"/>
                <w:szCs w:val="20"/>
              </w:rPr>
              <w:t>6</w:t>
            </w:r>
            <w:r w:rsidRPr="001C0A87">
              <w:rPr>
                <w:rFonts w:ascii="Arial Narrow" w:hAnsi="Arial Narrow"/>
                <w:b/>
                <w:color w:val="FFFFFF" w:themeColor="background1"/>
                <w:szCs w:val="20"/>
              </w:rPr>
              <w:t xml:space="preserve">-2034 </w:t>
            </w:r>
          </w:p>
        </w:tc>
      </w:tr>
      <w:tr w:rsidR="0044064A" w:rsidRPr="001C0A87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0" w:type="dxa"/>
            <w:tcBorders>
              <w:top w:val="single" w:sz="8" w:space="0" w:color="365F91" w:themeColor="accent1" w:themeShade="BF"/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Commercial Clothes Washers</w:t>
            </w:r>
          </w:p>
        </w:tc>
        <w:tc>
          <w:tcPr>
            <w:tcW w:w="1364" w:type="dxa"/>
            <w:tcBorders>
              <w:top w:val="single" w:sz="8" w:space="0" w:color="365F91" w:themeColor="accent1" w:themeShade="BF"/>
              <w:left w:val="single" w:sz="8" w:space="0" w:color="92876D"/>
            </w:tcBorders>
          </w:tcPr>
          <w:p w:rsidR="0044064A" w:rsidRPr="001C0A87" w:rsidRDefault="00A16219" w:rsidP="0050700F">
            <w:pPr>
              <w:keepNext/>
              <w:keepLine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>
              <w:rPr>
                <w:rFonts w:ascii="Arial Narrow" w:hAnsi="Arial Narrow"/>
                <w:noProof/>
                <w:szCs w:val="20"/>
              </w:rPr>
              <w:t>1.71</w:t>
            </w:r>
          </w:p>
        </w:tc>
        <w:tc>
          <w:tcPr>
            <w:tcW w:w="1364" w:type="dxa"/>
            <w:tcBorders>
              <w:top w:val="single" w:sz="8" w:space="0" w:color="365F91" w:themeColor="accent1" w:themeShade="BF"/>
              <w:right w:val="single" w:sz="8" w:space="0" w:color="92876D"/>
            </w:tcBorders>
          </w:tcPr>
          <w:p w:rsidR="0044064A" w:rsidRPr="001C0A87" w:rsidRDefault="00A16219" w:rsidP="0050700F">
            <w:pPr>
              <w:keepNext/>
              <w:keepLine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>
              <w:rPr>
                <w:rFonts w:ascii="Arial Narrow" w:hAnsi="Arial Narrow"/>
                <w:noProof/>
                <w:szCs w:val="20"/>
              </w:rPr>
              <w:t>8.26</w:t>
            </w:r>
          </w:p>
        </w:tc>
      </w:tr>
      <w:tr w:rsidR="0044064A" w:rsidRPr="001C0A87" w:rsidTr="005070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0" w:type="dxa"/>
            <w:tcBorders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Illuminated Exit Signs</w:t>
            </w:r>
          </w:p>
        </w:tc>
        <w:tc>
          <w:tcPr>
            <w:tcW w:w="1364" w:type="dxa"/>
            <w:tcBorders>
              <w:lef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0.0</w:t>
            </w:r>
          </w:p>
        </w:tc>
        <w:tc>
          <w:tcPr>
            <w:tcW w:w="1364" w:type="dxa"/>
            <w:tcBorders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0.0</w:t>
            </w:r>
          </w:p>
        </w:tc>
      </w:tr>
      <w:tr w:rsidR="0044064A" w:rsidRPr="001C0A87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0" w:type="dxa"/>
            <w:tcBorders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Pre-Rinse Spray Valves</w:t>
            </w:r>
          </w:p>
        </w:tc>
        <w:tc>
          <w:tcPr>
            <w:tcW w:w="1364" w:type="dxa"/>
            <w:tcBorders>
              <w:lef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0.0</w:t>
            </w:r>
          </w:p>
        </w:tc>
        <w:tc>
          <w:tcPr>
            <w:tcW w:w="1364" w:type="dxa"/>
            <w:tcBorders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0.0</w:t>
            </w:r>
          </w:p>
        </w:tc>
      </w:tr>
      <w:tr w:rsidR="0044064A" w:rsidRPr="001C0A87" w:rsidTr="005070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0" w:type="dxa"/>
            <w:tcBorders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Commercial Refrigeration Equipment</w:t>
            </w:r>
          </w:p>
        </w:tc>
        <w:tc>
          <w:tcPr>
            <w:tcW w:w="1364" w:type="dxa"/>
            <w:tcBorders>
              <w:lef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0.0</w:t>
            </w:r>
          </w:p>
        </w:tc>
        <w:tc>
          <w:tcPr>
            <w:tcW w:w="1364" w:type="dxa"/>
            <w:tcBorders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0.0</w:t>
            </w:r>
          </w:p>
        </w:tc>
      </w:tr>
      <w:tr w:rsidR="0044064A" w:rsidRPr="001C0A87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0" w:type="dxa"/>
            <w:tcBorders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Walk-</w:t>
            </w:r>
            <w:r>
              <w:rPr>
                <w:rFonts w:ascii="Arial Narrow" w:hAnsi="Arial Narrow"/>
                <w:noProof/>
                <w:szCs w:val="20"/>
              </w:rPr>
              <w:t>I</w:t>
            </w:r>
            <w:r w:rsidRPr="001C0A87">
              <w:rPr>
                <w:rFonts w:ascii="Arial Narrow" w:hAnsi="Arial Narrow"/>
                <w:noProof/>
                <w:szCs w:val="20"/>
              </w:rPr>
              <w:t>n Coolers and Freezers</w:t>
            </w:r>
          </w:p>
        </w:tc>
        <w:tc>
          <w:tcPr>
            <w:tcW w:w="1364" w:type="dxa"/>
            <w:tcBorders>
              <w:left w:val="single" w:sz="8" w:space="0" w:color="92876D"/>
            </w:tcBorders>
          </w:tcPr>
          <w:p w:rsidR="0044064A" w:rsidRPr="001C0A87" w:rsidRDefault="00A16219" w:rsidP="0050700F">
            <w:pPr>
              <w:keepNext/>
              <w:keepLine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>
              <w:rPr>
                <w:rFonts w:ascii="Arial Narrow" w:hAnsi="Arial Narrow"/>
                <w:noProof/>
                <w:szCs w:val="20"/>
              </w:rPr>
              <w:t>2.23</w:t>
            </w:r>
          </w:p>
        </w:tc>
        <w:tc>
          <w:tcPr>
            <w:tcW w:w="1364" w:type="dxa"/>
            <w:tcBorders>
              <w:right w:val="single" w:sz="8" w:space="0" w:color="92876D"/>
            </w:tcBorders>
          </w:tcPr>
          <w:p w:rsidR="0044064A" w:rsidRPr="001C0A87" w:rsidRDefault="00A16219" w:rsidP="0050700F">
            <w:pPr>
              <w:keepNext/>
              <w:keepLine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>
              <w:rPr>
                <w:rFonts w:ascii="Arial Narrow" w:hAnsi="Arial Narrow"/>
                <w:noProof/>
                <w:szCs w:val="20"/>
              </w:rPr>
              <w:t>9.56</w:t>
            </w:r>
          </w:p>
        </w:tc>
      </w:tr>
      <w:tr w:rsidR="0044064A" w:rsidRPr="001C0A87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0" w:type="dxa"/>
            <w:tcBorders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Electric Motors</w:t>
            </w:r>
          </w:p>
        </w:tc>
        <w:tc>
          <w:tcPr>
            <w:tcW w:w="1364" w:type="dxa"/>
            <w:tcBorders>
              <w:left w:val="single" w:sz="8" w:space="0" w:color="92876D"/>
            </w:tcBorders>
          </w:tcPr>
          <w:p w:rsidR="0044064A" w:rsidRPr="001C0A87" w:rsidRDefault="00A16219" w:rsidP="0050700F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>
              <w:rPr>
                <w:rFonts w:ascii="Arial Narrow" w:hAnsi="Arial Narrow"/>
                <w:noProof/>
                <w:szCs w:val="20"/>
              </w:rPr>
              <w:t>0.66</w:t>
            </w:r>
          </w:p>
        </w:tc>
        <w:tc>
          <w:tcPr>
            <w:tcW w:w="1364" w:type="dxa"/>
            <w:tcBorders>
              <w:right w:val="single" w:sz="8" w:space="0" w:color="92876D"/>
            </w:tcBorders>
          </w:tcPr>
          <w:p w:rsidR="0044064A" w:rsidRPr="001C0A87" w:rsidRDefault="00A16219" w:rsidP="0050700F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>
              <w:rPr>
                <w:rFonts w:ascii="Arial Narrow" w:hAnsi="Arial Narrow"/>
                <w:noProof/>
                <w:szCs w:val="20"/>
              </w:rPr>
              <w:t>2.56</w:t>
            </w:r>
          </w:p>
        </w:tc>
      </w:tr>
      <w:tr w:rsidR="0044064A" w:rsidRPr="001C0A87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0" w:type="dxa"/>
            <w:tcBorders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Distribution Transformers</w:t>
            </w:r>
          </w:p>
        </w:tc>
        <w:tc>
          <w:tcPr>
            <w:tcW w:w="1364" w:type="dxa"/>
            <w:tcBorders>
              <w:left w:val="single" w:sz="8" w:space="0" w:color="92876D"/>
            </w:tcBorders>
          </w:tcPr>
          <w:p w:rsidR="0044064A" w:rsidRPr="001C0A87" w:rsidRDefault="00A16219" w:rsidP="0050700F">
            <w:pPr>
              <w:keepNext/>
              <w:keepLine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>
              <w:rPr>
                <w:rFonts w:ascii="Arial Narrow" w:hAnsi="Arial Narrow"/>
                <w:noProof/>
                <w:szCs w:val="20"/>
              </w:rPr>
              <w:t>44.93</w:t>
            </w:r>
          </w:p>
        </w:tc>
        <w:tc>
          <w:tcPr>
            <w:tcW w:w="1364" w:type="dxa"/>
            <w:tcBorders>
              <w:right w:val="single" w:sz="8" w:space="0" w:color="92876D"/>
            </w:tcBorders>
          </w:tcPr>
          <w:p w:rsidR="0044064A" w:rsidRPr="001C0A87" w:rsidRDefault="00A16219" w:rsidP="0050700F">
            <w:pPr>
              <w:keepNext/>
              <w:keepLine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>
              <w:rPr>
                <w:rFonts w:ascii="Arial Narrow" w:hAnsi="Arial Narrow"/>
                <w:noProof/>
                <w:szCs w:val="20"/>
              </w:rPr>
              <w:t>318.85</w:t>
            </w:r>
          </w:p>
        </w:tc>
      </w:tr>
      <w:tr w:rsidR="0044064A" w:rsidRPr="001C0A87" w:rsidTr="005070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0" w:type="dxa"/>
            <w:tcBorders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CAC Air-Cooled</w:t>
            </w:r>
          </w:p>
        </w:tc>
        <w:tc>
          <w:tcPr>
            <w:tcW w:w="1364" w:type="dxa"/>
            <w:tcBorders>
              <w:lef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0.00</w:t>
            </w:r>
          </w:p>
        </w:tc>
        <w:tc>
          <w:tcPr>
            <w:tcW w:w="1364" w:type="dxa"/>
            <w:tcBorders>
              <w:right w:val="single" w:sz="8" w:space="0" w:color="92876D"/>
            </w:tcBorders>
          </w:tcPr>
          <w:p w:rsidR="0044064A" w:rsidRPr="001C0A87" w:rsidRDefault="00A16219" w:rsidP="0050700F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>
              <w:rPr>
                <w:rFonts w:ascii="Arial Narrow" w:hAnsi="Arial Narrow"/>
                <w:noProof/>
                <w:szCs w:val="20"/>
              </w:rPr>
              <w:t>0.20</w:t>
            </w:r>
          </w:p>
        </w:tc>
      </w:tr>
      <w:tr w:rsidR="0044064A" w:rsidRPr="001C0A87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0" w:type="dxa"/>
            <w:tcBorders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CAC Water-Cooled</w:t>
            </w:r>
          </w:p>
        </w:tc>
        <w:tc>
          <w:tcPr>
            <w:tcW w:w="1364" w:type="dxa"/>
            <w:tcBorders>
              <w:lef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0.0</w:t>
            </w:r>
            <w:r>
              <w:rPr>
                <w:rFonts w:ascii="Arial Narrow" w:hAnsi="Arial Narrow"/>
                <w:noProof/>
                <w:szCs w:val="20"/>
              </w:rPr>
              <w:t>1</w:t>
            </w:r>
          </w:p>
        </w:tc>
        <w:tc>
          <w:tcPr>
            <w:tcW w:w="1364" w:type="dxa"/>
            <w:tcBorders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0.06</w:t>
            </w:r>
          </w:p>
        </w:tc>
      </w:tr>
      <w:tr w:rsidR="0044064A" w:rsidRPr="001C0A87" w:rsidTr="005070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0" w:type="dxa"/>
            <w:tcBorders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Packaged Terminal Air-Conditioning/Heat Pump</w:t>
            </w:r>
          </w:p>
        </w:tc>
        <w:tc>
          <w:tcPr>
            <w:tcW w:w="1364" w:type="dxa"/>
            <w:tcBorders>
              <w:left w:val="single" w:sz="8" w:space="0" w:color="92876D"/>
              <w:bottom w:val="double" w:sz="4" w:space="0" w:color="92876D"/>
            </w:tcBorders>
          </w:tcPr>
          <w:p w:rsidR="0044064A" w:rsidRPr="001C0A87" w:rsidRDefault="0044064A" w:rsidP="0050700F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0.</w:t>
            </w:r>
            <w:r w:rsidR="00A16219">
              <w:rPr>
                <w:rFonts w:ascii="Arial Narrow" w:hAnsi="Arial Narrow"/>
                <w:noProof/>
                <w:szCs w:val="20"/>
              </w:rPr>
              <w:t>12</w:t>
            </w:r>
          </w:p>
        </w:tc>
        <w:tc>
          <w:tcPr>
            <w:tcW w:w="1364" w:type="dxa"/>
            <w:tcBorders>
              <w:right w:val="single" w:sz="8" w:space="0" w:color="92876D"/>
            </w:tcBorders>
          </w:tcPr>
          <w:p w:rsidR="0044064A" w:rsidRPr="001C0A87" w:rsidRDefault="0044064A" w:rsidP="0050700F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0.3</w:t>
            </w:r>
            <w:r w:rsidR="00A16219">
              <w:rPr>
                <w:rFonts w:ascii="Arial Narrow" w:hAnsi="Arial Narrow"/>
                <w:noProof/>
                <w:szCs w:val="20"/>
              </w:rPr>
              <w:t>6</w:t>
            </w:r>
          </w:p>
        </w:tc>
      </w:tr>
      <w:tr w:rsidR="0044064A" w:rsidRPr="001C0A87" w:rsidTr="0050700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0" w:type="dxa"/>
            <w:tcBorders>
              <w:right w:val="nil"/>
            </w:tcBorders>
          </w:tcPr>
          <w:p w:rsidR="0044064A" w:rsidRPr="001C0A87" w:rsidRDefault="0044064A" w:rsidP="0050700F">
            <w:pPr>
              <w:rPr>
                <w:rFonts w:ascii="Arial Narrow" w:hAnsi="Arial Narrow"/>
                <w:noProof/>
                <w:szCs w:val="20"/>
              </w:rPr>
            </w:pPr>
            <w:r w:rsidRPr="001C0A87">
              <w:rPr>
                <w:rFonts w:ascii="Arial Narrow" w:hAnsi="Arial Narrow"/>
                <w:noProof/>
                <w:szCs w:val="20"/>
              </w:rPr>
              <w:t>Total Commercial</w:t>
            </w:r>
          </w:p>
        </w:tc>
        <w:tc>
          <w:tcPr>
            <w:tcW w:w="1364" w:type="dxa"/>
            <w:tcBorders>
              <w:left w:val="nil"/>
              <w:bottom w:val="single" w:sz="8" w:space="0" w:color="92876D"/>
            </w:tcBorders>
          </w:tcPr>
          <w:p w:rsidR="0044064A" w:rsidRPr="001C0A87" w:rsidRDefault="0044064A" w:rsidP="00A16219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>
              <w:rPr>
                <w:rFonts w:ascii="Arial Narrow" w:hAnsi="Arial Narrow"/>
                <w:noProof/>
                <w:szCs w:val="20"/>
              </w:rPr>
              <w:t>4</w:t>
            </w:r>
            <w:r w:rsidR="00A16219">
              <w:rPr>
                <w:rFonts w:ascii="Arial Narrow" w:hAnsi="Arial Narrow"/>
                <w:noProof/>
                <w:szCs w:val="20"/>
              </w:rPr>
              <w:t>9.65</w:t>
            </w:r>
          </w:p>
        </w:tc>
        <w:tc>
          <w:tcPr>
            <w:tcW w:w="1364" w:type="dxa"/>
            <w:tcBorders>
              <w:right w:val="nil"/>
            </w:tcBorders>
          </w:tcPr>
          <w:p w:rsidR="0044064A" w:rsidRPr="001C0A87" w:rsidRDefault="0044064A" w:rsidP="0050700F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noProof/>
                <w:szCs w:val="20"/>
              </w:rPr>
            </w:pPr>
            <w:r>
              <w:rPr>
                <w:rFonts w:ascii="Arial Narrow" w:hAnsi="Arial Narrow"/>
                <w:noProof/>
                <w:szCs w:val="20"/>
              </w:rPr>
              <w:t>3</w:t>
            </w:r>
            <w:r w:rsidR="00A16219">
              <w:rPr>
                <w:rFonts w:ascii="Arial Narrow" w:hAnsi="Arial Narrow"/>
                <w:noProof/>
                <w:szCs w:val="20"/>
              </w:rPr>
              <w:t>39.85</w:t>
            </w:r>
          </w:p>
        </w:tc>
      </w:tr>
    </w:tbl>
    <w:p w:rsidR="009F03AF" w:rsidRDefault="009F03AF"/>
    <w:p w:rsidR="008353DE" w:rsidRPr="009F03AF" w:rsidRDefault="008353DE" w:rsidP="008353DE">
      <w:pPr>
        <w:pStyle w:val="Caption"/>
        <w:jc w:val="left"/>
        <w:rPr>
          <w:color w:val="auto"/>
        </w:rPr>
      </w:pPr>
      <w:bookmarkStart w:id="10" w:name="_Ref387313682"/>
      <w:bookmarkStart w:id="11" w:name="_Toc387271891"/>
      <w:bookmarkStart w:id="12" w:name="_Toc387936482"/>
      <w:r>
        <w:rPr>
          <w:color w:val="auto"/>
        </w:rPr>
        <w:lastRenderedPageBreak/>
        <w:t xml:space="preserve">Lighting Standards-Driven Savings </w:t>
      </w:r>
    </w:p>
    <w:p w:rsidR="008353DE" w:rsidRPr="008353DE" w:rsidRDefault="00090EBA" w:rsidP="008353DE">
      <w:pPr>
        <w:pStyle w:val="Caption"/>
        <w:jc w:val="left"/>
        <w:rPr>
          <w:color w:val="auto"/>
        </w:rPr>
      </w:pPr>
      <w:r>
        <w:rPr>
          <w:b w:val="0"/>
          <w:color w:val="auto"/>
        </w:rPr>
        <w:t>Table 3 and Table 4</w:t>
      </w:r>
      <w:r w:rsidR="008353DE">
        <w:rPr>
          <w:b w:val="0"/>
          <w:color w:val="auto"/>
        </w:rPr>
        <w:t xml:space="preserve"> show lighting savings driven by lighting standards in multiple time frames</w:t>
      </w:r>
      <w:r w:rsidR="00FB24C9">
        <w:rPr>
          <w:b w:val="0"/>
          <w:color w:val="auto"/>
        </w:rPr>
        <w:t>, above the Sixth Plan baseline</w:t>
      </w:r>
    </w:p>
    <w:p w:rsidR="008353DE" w:rsidRDefault="00090EBA" w:rsidP="008353DE">
      <w:pPr>
        <w:pStyle w:val="Caption"/>
      </w:pPr>
      <w:proofErr w:type="gramStart"/>
      <w:r>
        <w:t>Table 3</w:t>
      </w:r>
      <w:r w:rsidR="008353DE">
        <w:t>.</w:t>
      </w:r>
      <w:proofErr w:type="gramEnd"/>
      <w:r w:rsidR="008353DE">
        <w:t xml:space="preserve"> Regional Lighting Standards Energy Savings (2010-2015) </w:t>
      </w:r>
    </w:p>
    <w:tbl>
      <w:tblPr>
        <w:tblStyle w:val="EnergyTable"/>
        <w:tblW w:w="9107" w:type="dxa"/>
        <w:tblLook w:val="04E0" w:firstRow="1" w:lastRow="1" w:firstColumn="1" w:lastColumn="0" w:noHBand="0" w:noVBand="1"/>
      </w:tblPr>
      <w:tblGrid>
        <w:gridCol w:w="2799"/>
        <w:gridCol w:w="1343"/>
        <w:gridCol w:w="1197"/>
        <w:gridCol w:w="916"/>
        <w:gridCol w:w="1116"/>
        <w:gridCol w:w="868"/>
        <w:gridCol w:w="868"/>
      </w:tblGrid>
      <w:tr w:rsidR="008353DE" w:rsidRPr="00A0583D" w:rsidTr="005070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9" w:type="dxa"/>
            <w:hideMark/>
          </w:tcPr>
          <w:p w:rsidR="008353DE" w:rsidRPr="00A0583D" w:rsidRDefault="008353DE" w:rsidP="0050700F">
            <w:pPr>
              <w:rPr>
                <w:rFonts w:cs="Calibri"/>
                <w:szCs w:val="20"/>
              </w:rPr>
            </w:pPr>
          </w:p>
        </w:tc>
        <w:tc>
          <w:tcPr>
            <w:tcW w:w="1343" w:type="dxa"/>
            <w:hideMark/>
          </w:tcPr>
          <w:p w:rsidR="008353DE" w:rsidRPr="00A0583D" w:rsidRDefault="008353DE" w:rsidP="0050700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20"/>
              </w:rPr>
            </w:pPr>
            <w:r w:rsidRPr="00A0583D">
              <w:rPr>
                <w:rFonts w:cs="Calibri"/>
                <w:szCs w:val="20"/>
              </w:rPr>
              <w:t>2010</w:t>
            </w:r>
          </w:p>
        </w:tc>
        <w:tc>
          <w:tcPr>
            <w:tcW w:w="1197" w:type="dxa"/>
            <w:hideMark/>
          </w:tcPr>
          <w:p w:rsidR="008353DE" w:rsidRPr="00A0583D" w:rsidRDefault="008353DE" w:rsidP="0050700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20"/>
              </w:rPr>
            </w:pPr>
            <w:r w:rsidRPr="00A0583D">
              <w:rPr>
                <w:rFonts w:cs="Calibri"/>
                <w:szCs w:val="20"/>
              </w:rPr>
              <w:t>2011</w:t>
            </w:r>
          </w:p>
        </w:tc>
        <w:tc>
          <w:tcPr>
            <w:tcW w:w="916" w:type="dxa"/>
            <w:hideMark/>
          </w:tcPr>
          <w:p w:rsidR="008353DE" w:rsidRPr="00A0583D" w:rsidRDefault="008353DE" w:rsidP="0050700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20"/>
              </w:rPr>
            </w:pPr>
            <w:r w:rsidRPr="00A0583D">
              <w:rPr>
                <w:rFonts w:cs="Calibri"/>
                <w:szCs w:val="20"/>
              </w:rPr>
              <w:t>2012</w:t>
            </w:r>
          </w:p>
        </w:tc>
        <w:tc>
          <w:tcPr>
            <w:tcW w:w="1116" w:type="dxa"/>
            <w:hideMark/>
          </w:tcPr>
          <w:p w:rsidR="008353DE" w:rsidRPr="00A0583D" w:rsidRDefault="008353DE" w:rsidP="0050700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20"/>
              </w:rPr>
            </w:pPr>
            <w:r w:rsidRPr="00A0583D">
              <w:rPr>
                <w:rFonts w:cs="Calibri"/>
                <w:szCs w:val="20"/>
              </w:rPr>
              <w:t>2013</w:t>
            </w:r>
          </w:p>
        </w:tc>
        <w:tc>
          <w:tcPr>
            <w:tcW w:w="868" w:type="dxa"/>
            <w:hideMark/>
          </w:tcPr>
          <w:p w:rsidR="008353DE" w:rsidRPr="00A0583D" w:rsidRDefault="008353DE" w:rsidP="0050700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20"/>
              </w:rPr>
            </w:pPr>
            <w:r w:rsidRPr="00A0583D">
              <w:rPr>
                <w:rFonts w:cs="Calibri"/>
                <w:szCs w:val="20"/>
              </w:rPr>
              <w:t>2014</w:t>
            </w:r>
          </w:p>
        </w:tc>
        <w:tc>
          <w:tcPr>
            <w:tcW w:w="868" w:type="dxa"/>
          </w:tcPr>
          <w:p w:rsidR="008353DE" w:rsidRPr="00A0583D" w:rsidRDefault="008353DE" w:rsidP="0050700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2015</w:t>
            </w:r>
          </w:p>
        </w:tc>
      </w:tr>
      <w:tr w:rsidR="008353DE" w:rsidRPr="00A0583D" w:rsidTr="0050700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9" w:type="dxa"/>
            <w:noWrap/>
          </w:tcPr>
          <w:p w:rsidR="008353DE" w:rsidRPr="00A0583D" w:rsidRDefault="008353DE" w:rsidP="0050700F">
            <w:pPr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First-Year Savings (</w:t>
            </w:r>
            <w:proofErr w:type="spellStart"/>
            <w:r>
              <w:rPr>
                <w:rFonts w:cs="Calibri"/>
                <w:color w:val="000000"/>
                <w:szCs w:val="20"/>
              </w:rPr>
              <w:t>aMW</w:t>
            </w:r>
            <w:proofErr w:type="spellEnd"/>
            <w:r>
              <w:rPr>
                <w:rFonts w:cs="Calibri"/>
                <w:color w:val="000000"/>
                <w:szCs w:val="20"/>
              </w:rPr>
              <w:t>)</w:t>
            </w:r>
          </w:p>
        </w:tc>
        <w:tc>
          <w:tcPr>
            <w:tcW w:w="1343" w:type="dxa"/>
            <w:noWrap/>
          </w:tcPr>
          <w:p w:rsidR="008353DE" w:rsidRPr="00A0583D" w:rsidRDefault="008353DE" w:rsidP="0050700F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0</w:t>
            </w:r>
          </w:p>
        </w:tc>
        <w:tc>
          <w:tcPr>
            <w:tcW w:w="1197" w:type="dxa"/>
            <w:noWrap/>
          </w:tcPr>
          <w:p w:rsidR="008353DE" w:rsidRPr="00A0583D" w:rsidRDefault="00251647" w:rsidP="0050700F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3.27</w:t>
            </w:r>
          </w:p>
        </w:tc>
        <w:tc>
          <w:tcPr>
            <w:tcW w:w="916" w:type="dxa"/>
            <w:noWrap/>
          </w:tcPr>
          <w:p w:rsidR="008353DE" w:rsidRPr="00A0583D" w:rsidRDefault="00251647" w:rsidP="0050700F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16.36</w:t>
            </w:r>
          </w:p>
        </w:tc>
        <w:tc>
          <w:tcPr>
            <w:tcW w:w="1116" w:type="dxa"/>
            <w:noWrap/>
          </w:tcPr>
          <w:p w:rsidR="008353DE" w:rsidRPr="00A0583D" w:rsidRDefault="00251647" w:rsidP="0050700F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22.9</w:t>
            </w:r>
          </w:p>
        </w:tc>
        <w:tc>
          <w:tcPr>
            <w:tcW w:w="868" w:type="dxa"/>
            <w:noWrap/>
          </w:tcPr>
          <w:p w:rsidR="008353DE" w:rsidRPr="00A0583D" w:rsidRDefault="00251647" w:rsidP="0050700F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21.81</w:t>
            </w:r>
          </w:p>
        </w:tc>
        <w:tc>
          <w:tcPr>
            <w:tcW w:w="868" w:type="dxa"/>
          </w:tcPr>
          <w:p w:rsidR="008353DE" w:rsidRPr="00A0583D" w:rsidDel="009E665D" w:rsidRDefault="00251647" w:rsidP="0050700F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16.35</w:t>
            </w:r>
          </w:p>
        </w:tc>
      </w:tr>
    </w:tbl>
    <w:p w:rsidR="008353DE" w:rsidRDefault="008353DE" w:rsidP="008353DE">
      <w:pPr>
        <w:pStyle w:val="Caption"/>
        <w:jc w:val="left"/>
        <w:rPr>
          <w:color w:val="auto"/>
        </w:rPr>
      </w:pPr>
    </w:p>
    <w:p w:rsidR="008353DE" w:rsidRDefault="00090EBA" w:rsidP="008353DE">
      <w:pPr>
        <w:pStyle w:val="Caption"/>
      </w:pPr>
      <w:proofErr w:type="gramStart"/>
      <w:r>
        <w:t>Table 4</w:t>
      </w:r>
      <w:r w:rsidR="008353DE">
        <w:t>.</w:t>
      </w:r>
      <w:proofErr w:type="gramEnd"/>
      <w:r w:rsidR="008353DE">
        <w:t xml:space="preserve"> Regional Lighting Standards Energy Savings by Year-bin</w:t>
      </w:r>
    </w:p>
    <w:tbl>
      <w:tblPr>
        <w:tblStyle w:val="EnergyTable"/>
        <w:tblW w:w="9214" w:type="dxa"/>
        <w:tblLayout w:type="fixed"/>
        <w:tblLook w:val="04E0" w:firstRow="1" w:lastRow="1" w:firstColumn="1" w:lastColumn="0" w:noHBand="0" w:noVBand="1"/>
      </w:tblPr>
      <w:tblGrid>
        <w:gridCol w:w="2880"/>
        <w:gridCol w:w="1287"/>
        <w:gridCol w:w="1288"/>
        <w:gridCol w:w="1288"/>
        <w:gridCol w:w="1288"/>
        <w:gridCol w:w="1183"/>
      </w:tblGrid>
      <w:tr w:rsidR="008353DE" w:rsidRPr="00A0583D" w:rsidTr="005070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hideMark/>
          </w:tcPr>
          <w:p w:rsidR="008353DE" w:rsidRPr="00A0583D" w:rsidRDefault="008353DE" w:rsidP="0050700F">
            <w:pPr>
              <w:rPr>
                <w:rFonts w:cs="Calibri"/>
                <w:szCs w:val="20"/>
              </w:rPr>
            </w:pPr>
          </w:p>
        </w:tc>
        <w:tc>
          <w:tcPr>
            <w:tcW w:w="1287" w:type="dxa"/>
            <w:hideMark/>
          </w:tcPr>
          <w:p w:rsidR="008353DE" w:rsidRPr="00A0583D" w:rsidRDefault="008353DE" w:rsidP="0050700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20"/>
              </w:rPr>
            </w:pPr>
            <w:r w:rsidRPr="00A0583D">
              <w:rPr>
                <w:rFonts w:cs="Calibri"/>
                <w:szCs w:val="20"/>
              </w:rPr>
              <w:t>2010</w:t>
            </w:r>
            <w:r>
              <w:rPr>
                <w:rFonts w:cs="Calibri"/>
                <w:szCs w:val="20"/>
              </w:rPr>
              <w:t>-2015</w:t>
            </w:r>
          </w:p>
        </w:tc>
        <w:tc>
          <w:tcPr>
            <w:tcW w:w="1288" w:type="dxa"/>
            <w:hideMark/>
          </w:tcPr>
          <w:p w:rsidR="008353DE" w:rsidRPr="00A0583D" w:rsidRDefault="008353DE" w:rsidP="0050700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2016-2020</w:t>
            </w:r>
          </w:p>
        </w:tc>
        <w:tc>
          <w:tcPr>
            <w:tcW w:w="1288" w:type="dxa"/>
            <w:hideMark/>
          </w:tcPr>
          <w:p w:rsidR="008353DE" w:rsidRPr="00A0583D" w:rsidRDefault="008353DE" w:rsidP="0050700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2021-2025</w:t>
            </w:r>
          </w:p>
        </w:tc>
        <w:tc>
          <w:tcPr>
            <w:tcW w:w="1288" w:type="dxa"/>
            <w:hideMark/>
          </w:tcPr>
          <w:p w:rsidR="008353DE" w:rsidRPr="00A0583D" w:rsidRDefault="008353DE" w:rsidP="0050700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2026-2030</w:t>
            </w:r>
          </w:p>
        </w:tc>
        <w:tc>
          <w:tcPr>
            <w:tcW w:w="1183" w:type="dxa"/>
            <w:hideMark/>
          </w:tcPr>
          <w:p w:rsidR="008353DE" w:rsidRPr="00A0583D" w:rsidRDefault="008353DE" w:rsidP="0050700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2031-2035</w:t>
            </w:r>
          </w:p>
        </w:tc>
      </w:tr>
      <w:tr w:rsidR="008353DE" w:rsidRPr="00A0583D" w:rsidTr="0050700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noWrap/>
          </w:tcPr>
          <w:p w:rsidR="008353DE" w:rsidRPr="00A0583D" w:rsidRDefault="008353DE" w:rsidP="0050700F">
            <w:pPr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First-Year Savings (</w:t>
            </w:r>
            <w:proofErr w:type="spellStart"/>
            <w:r>
              <w:rPr>
                <w:rFonts w:cs="Calibri"/>
                <w:color w:val="000000"/>
                <w:szCs w:val="20"/>
              </w:rPr>
              <w:t>aMW</w:t>
            </w:r>
            <w:proofErr w:type="spellEnd"/>
            <w:r>
              <w:rPr>
                <w:rFonts w:cs="Calibri"/>
                <w:color w:val="000000"/>
                <w:szCs w:val="20"/>
              </w:rPr>
              <w:t>)</w:t>
            </w:r>
          </w:p>
        </w:tc>
        <w:tc>
          <w:tcPr>
            <w:tcW w:w="1287" w:type="dxa"/>
            <w:noWrap/>
          </w:tcPr>
          <w:p w:rsidR="008353DE" w:rsidRPr="00A0583D" w:rsidRDefault="00251647" w:rsidP="0050700F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80.70</w:t>
            </w:r>
          </w:p>
        </w:tc>
        <w:tc>
          <w:tcPr>
            <w:tcW w:w="1288" w:type="dxa"/>
            <w:noWrap/>
          </w:tcPr>
          <w:p w:rsidR="008353DE" w:rsidRPr="00A0583D" w:rsidRDefault="00251647" w:rsidP="0050700F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48.89</w:t>
            </w:r>
          </w:p>
        </w:tc>
        <w:tc>
          <w:tcPr>
            <w:tcW w:w="1288" w:type="dxa"/>
            <w:noWrap/>
          </w:tcPr>
          <w:p w:rsidR="008353DE" w:rsidRPr="00A0583D" w:rsidRDefault="00251647" w:rsidP="0050700F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7.63</w:t>
            </w:r>
          </w:p>
        </w:tc>
        <w:tc>
          <w:tcPr>
            <w:tcW w:w="1288" w:type="dxa"/>
            <w:noWrap/>
          </w:tcPr>
          <w:p w:rsidR="008353DE" w:rsidRPr="00A0583D" w:rsidRDefault="00251647" w:rsidP="0050700F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5.45</w:t>
            </w:r>
          </w:p>
        </w:tc>
        <w:tc>
          <w:tcPr>
            <w:tcW w:w="1183" w:type="dxa"/>
            <w:noWrap/>
          </w:tcPr>
          <w:p w:rsidR="008353DE" w:rsidRPr="00A0583D" w:rsidRDefault="00251647" w:rsidP="0050700F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4.36</w:t>
            </w:r>
          </w:p>
        </w:tc>
      </w:tr>
    </w:tbl>
    <w:p w:rsidR="008353DE" w:rsidRDefault="008353DE" w:rsidP="009F03AF">
      <w:pPr>
        <w:pStyle w:val="Caption"/>
        <w:jc w:val="left"/>
        <w:rPr>
          <w:color w:val="auto"/>
        </w:rPr>
      </w:pPr>
    </w:p>
    <w:p w:rsidR="009F03AF" w:rsidRPr="009F03AF" w:rsidRDefault="009F03AF" w:rsidP="009F03AF">
      <w:pPr>
        <w:pStyle w:val="Caption"/>
        <w:jc w:val="left"/>
        <w:rPr>
          <w:color w:val="auto"/>
        </w:rPr>
      </w:pPr>
      <w:r>
        <w:rPr>
          <w:color w:val="auto"/>
        </w:rPr>
        <w:t xml:space="preserve">Baseline Adjustments by Product </w:t>
      </w:r>
    </w:p>
    <w:p w:rsidR="009F03AF" w:rsidRDefault="009F03AF" w:rsidP="009F03AF">
      <w:r>
        <w:t xml:space="preserve">The one-time baseline adjustment account for the difference between the Sixth Power Plan’s assumed market shipments and baseline UEC in 2010 and </w:t>
      </w:r>
      <w:r w:rsidR="00963BE0">
        <w:t xml:space="preserve">those the team </w:t>
      </w:r>
      <w:r>
        <w:t>modeled</w:t>
      </w:r>
      <w:r w:rsidR="00963BE0">
        <w:t xml:space="preserve"> in the standard analysis</w:t>
      </w:r>
      <w:r>
        <w:t xml:space="preserve"> us</w:t>
      </w:r>
      <w:r w:rsidR="00090EBA">
        <w:t>ing best available data. Table 5 and Table 6</w:t>
      </w:r>
      <w:r>
        <w:t xml:space="preserve"> lay out the baseline adjustments by product.</w:t>
      </w:r>
    </w:p>
    <w:p w:rsidR="009F03AF" w:rsidRDefault="009F03AF" w:rsidP="009F03AF">
      <w:pPr>
        <w:pStyle w:val="Caption"/>
        <w:jc w:val="left"/>
      </w:pPr>
    </w:p>
    <w:p w:rsidR="009F03AF" w:rsidRDefault="009F03AF" w:rsidP="009F03AF">
      <w:pPr>
        <w:pStyle w:val="Caption"/>
      </w:pPr>
      <w:proofErr w:type="gramStart"/>
      <w:r>
        <w:t xml:space="preserve">Table </w:t>
      </w:r>
      <w:bookmarkEnd w:id="10"/>
      <w:r w:rsidR="00090EBA">
        <w:t>5</w:t>
      </w:r>
      <w:r>
        <w:t>.</w:t>
      </w:r>
      <w:proofErr w:type="gramEnd"/>
      <w:r>
        <w:t xml:space="preserve"> Residential Products’ </w:t>
      </w:r>
      <w:r w:rsidR="00324ECC">
        <w:t>O</w:t>
      </w:r>
      <w:r w:rsidR="00FB24C9">
        <w:t xml:space="preserve">ne- time </w:t>
      </w:r>
      <w:r>
        <w:t xml:space="preserve">Baseline Adjustments </w:t>
      </w:r>
      <w:bookmarkEnd w:id="11"/>
      <w:bookmarkEnd w:id="12"/>
    </w:p>
    <w:tbl>
      <w:tblPr>
        <w:tblW w:w="7935" w:type="dxa"/>
        <w:jc w:val="center"/>
        <w:tblLook w:val="04E0" w:firstRow="1" w:lastRow="1" w:firstColumn="1" w:lastColumn="0" w:noHBand="0" w:noVBand="1"/>
      </w:tblPr>
      <w:tblGrid>
        <w:gridCol w:w="3165"/>
        <w:gridCol w:w="2520"/>
        <w:gridCol w:w="2250"/>
      </w:tblGrid>
      <w:tr w:rsidR="00C25F15" w:rsidRPr="000F30DC" w:rsidTr="006E7CAB">
        <w:trPr>
          <w:trHeight w:val="576"/>
          <w:jc w:val="center"/>
        </w:trPr>
        <w:tc>
          <w:tcPr>
            <w:tcW w:w="3165" w:type="dxa"/>
            <w:tcBorders>
              <w:top w:val="single" w:sz="8" w:space="0" w:color="DDD9C3"/>
              <w:left w:val="nil"/>
              <w:bottom w:val="single" w:sz="8" w:space="0" w:color="C5A41C"/>
              <w:right w:val="nil"/>
            </w:tcBorders>
            <w:shd w:val="clear" w:color="000000" w:fill="92876D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b/>
                <w:bCs/>
                <w:color w:val="FFFFFF"/>
                <w:szCs w:val="20"/>
              </w:rPr>
            </w:pPr>
            <w:bookmarkStart w:id="13" w:name="_Toc387936483"/>
            <w:r w:rsidRPr="000F30DC">
              <w:rPr>
                <w:rFonts w:ascii="Arial Narrow" w:hAnsi="Arial Narrow"/>
                <w:b/>
                <w:bCs/>
                <w:noProof/>
                <w:color w:val="FFFFFF" w:themeColor="background1"/>
                <w:szCs w:val="20"/>
              </w:rPr>
              <w:t>Product</w:t>
            </w:r>
          </w:p>
        </w:tc>
        <w:tc>
          <w:tcPr>
            <w:tcW w:w="2520" w:type="dxa"/>
            <w:tcBorders>
              <w:top w:val="single" w:sz="8" w:space="0" w:color="DDD9C3"/>
              <w:left w:val="nil"/>
              <w:bottom w:val="single" w:sz="8" w:space="0" w:color="C5A41C"/>
              <w:right w:val="nil"/>
            </w:tcBorders>
            <w:shd w:val="clear" w:color="000000" w:fill="92876D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b/>
                <w:bCs/>
                <w:color w:val="FFFFFF"/>
                <w:szCs w:val="20"/>
              </w:rPr>
            </w:pPr>
            <w:r w:rsidRPr="000F30DC">
              <w:rPr>
                <w:rFonts w:ascii="Arial Narrow" w:hAnsi="Arial Narrow"/>
                <w:b/>
                <w:bCs/>
                <w:noProof/>
                <w:color w:val="FFFFFF" w:themeColor="background1"/>
                <w:szCs w:val="20"/>
              </w:rPr>
              <w:t>Regional Sixth Plan Baseline Adjustment (aMW)</w:t>
            </w:r>
          </w:p>
        </w:tc>
        <w:tc>
          <w:tcPr>
            <w:tcW w:w="2250" w:type="dxa"/>
            <w:tcBorders>
              <w:top w:val="single" w:sz="8" w:space="0" w:color="DDD9C3"/>
              <w:left w:val="nil"/>
              <w:bottom w:val="single" w:sz="8" w:space="0" w:color="C5A41C"/>
              <w:right w:val="nil"/>
            </w:tcBorders>
            <w:shd w:val="clear" w:color="000000" w:fill="92876D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b/>
                <w:bCs/>
                <w:color w:val="FFFFFF"/>
                <w:szCs w:val="20"/>
              </w:rPr>
            </w:pPr>
            <w:r w:rsidRPr="000F30DC">
              <w:rPr>
                <w:rFonts w:ascii="Arial Narrow" w:hAnsi="Arial Narrow"/>
                <w:b/>
                <w:bCs/>
                <w:noProof/>
                <w:color w:val="FFFFFF" w:themeColor="background1"/>
                <w:szCs w:val="20"/>
              </w:rPr>
              <w:t>BPA Sixth Plan</w:t>
            </w:r>
            <w:r>
              <w:rPr>
                <w:rFonts w:ascii="Arial Narrow" w:hAnsi="Arial Narrow"/>
                <w:b/>
                <w:bCs/>
                <w:noProof/>
                <w:color w:val="FFFFFF" w:themeColor="background1"/>
                <w:szCs w:val="20"/>
              </w:rPr>
              <w:t xml:space="preserve"> </w:t>
            </w:r>
            <w:r w:rsidRPr="000F30DC">
              <w:rPr>
                <w:rFonts w:ascii="Arial Narrow" w:hAnsi="Arial Narrow"/>
                <w:b/>
                <w:bCs/>
                <w:noProof/>
                <w:color w:val="FFFFFF" w:themeColor="background1"/>
                <w:szCs w:val="20"/>
              </w:rPr>
              <w:t>Baseline Adjustment (aMW)</w:t>
            </w:r>
          </w:p>
        </w:tc>
      </w:tr>
      <w:tr w:rsidR="00C25F15" w:rsidRPr="000F30DC" w:rsidTr="006E7CAB">
        <w:trPr>
          <w:cantSplit/>
          <w:trHeight w:val="270"/>
          <w:jc w:val="center"/>
        </w:trPr>
        <w:tc>
          <w:tcPr>
            <w:tcW w:w="3165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Residential Dishwashers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5.</w:t>
            </w:r>
            <w:r>
              <w:rPr>
                <w:rFonts w:ascii="Arial Narrow" w:hAnsi="Arial Narrow"/>
                <w:noProof/>
                <w:color w:val="000000"/>
                <w:szCs w:val="20"/>
              </w:rPr>
              <w:t>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2.4</w:t>
            </w:r>
          </w:p>
        </w:tc>
      </w:tr>
      <w:tr w:rsidR="00C25F15" w:rsidRPr="000F30DC" w:rsidTr="006E7CAB">
        <w:trPr>
          <w:cantSplit/>
          <w:trHeight w:val="270"/>
          <w:jc w:val="center"/>
        </w:trPr>
        <w:tc>
          <w:tcPr>
            <w:tcW w:w="3165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Residential Refrigerators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-</w:t>
            </w:r>
            <w:r>
              <w:rPr>
                <w:rFonts w:ascii="Arial Narrow" w:hAnsi="Arial Narrow"/>
                <w:noProof/>
                <w:color w:val="000000"/>
                <w:szCs w:val="20"/>
              </w:rPr>
              <w:t>4.0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-1.7</w:t>
            </w:r>
          </w:p>
        </w:tc>
      </w:tr>
      <w:tr w:rsidR="00C25F15" w:rsidRPr="000F30DC" w:rsidTr="006E7CAB">
        <w:trPr>
          <w:cantSplit/>
          <w:trHeight w:val="270"/>
          <w:jc w:val="center"/>
        </w:trPr>
        <w:tc>
          <w:tcPr>
            <w:tcW w:w="3165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Residential Freezers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color w:val="000000"/>
                <w:szCs w:val="20"/>
              </w:rPr>
            </w:pPr>
            <w:r>
              <w:rPr>
                <w:rFonts w:ascii="Arial Narrow" w:hAnsi="Arial Narrow"/>
                <w:noProof/>
                <w:color w:val="000000"/>
                <w:szCs w:val="20"/>
              </w:rPr>
              <w:t>5.0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2.1</w:t>
            </w:r>
          </w:p>
        </w:tc>
      </w:tr>
      <w:tr w:rsidR="00C25F15" w:rsidRPr="000F30DC" w:rsidTr="006E7CAB">
        <w:trPr>
          <w:cantSplit/>
          <w:trHeight w:val="270"/>
          <w:jc w:val="center"/>
        </w:trPr>
        <w:tc>
          <w:tcPr>
            <w:tcW w:w="3165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External Power Supplies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0</w:t>
            </w:r>
          </w:p>
        </w:tc>
      </w:tr>
      <w:tr w:rsidR="00C25F15" w:rsidRPr="000F30DC" w:rsidTr="006E7CAB">
        <w:trPr>
          <w:cantSplit/>
          <w:trHeight w:val="270"/>
          <w:jc w:val="center"/>
        </w:trPr>
        <w:tc>
          <w:tcPr>
            <w:tcW w:w="3165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Residential Clothes Washers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color w:val="000000"/>
                <w:szCs w:val="20"/>
              </w:rPr>
            </w:pPr>
            <w:r>
              <w:rPr>
                <w:rFonts w:ascii="Arial Narrow" w:hAnsi="Arial Narrow"/>
                <w:noProof/>
                <w:color w:val="000000"/>
                <w:szCs w:val="20"/>
              </w:rPr>
              <w:t>7.1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3</w:t>
            </w:r>
          </w:p>
        </w:tc>
      </w:tr>
      <w:tr w:rsidR="00C25F15" w:rsidRPr="000F30DC" w:rsidTr="006E7CAB">
        <w:trPr>
          <w:cantSplit/>
          <w:trHeight w:val="270"/>
          <w:jc w:val="center"/>
        </w:trPr>
        <w:tc>
          <w:tcPr>
            <w:tcW w:w="3165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Residential Water Heaters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2</w:t>
            </w:r>
            <w:r>
              <w:rPr>
                <w:rFonts w:ascii="Arial Narrow" w:hAnsi="Arial Narrow"/>
                <w:noProof/>
                <w:color w:val="000000"/>
                <w:szCs w:val="20"/>
              </w:rPr>
              <w:t>3</w:t>
            </w: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.</w:t>
            </w:r>
            <w:r>
              <w:rPr>
                <w:rFonts w:ascii="Arial Narrow" w:hAnsi="Arial Narrow"/>
                <w:noProof/>
                <w:color w:val="000000"/>
                <w:szCs w:val="20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9.7</w:t>
            </w:r>
          </w:p>
        </w:tc>
      </w:tr>
      <w:tr w:rsidR="00C25F15" w:rsidRPr="000F30DC" w:rsidTr="006E7CAB">
        <w:trPr>
          <w:cantSplit/>
          <w:trHeight w:val="270"/>
          <w:jc w:val="center"/>
        </w:trPr>
        <w:tc>
          <w:tcPr>
            <w:tcW w:w="3165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Ceiling Fan Lighting Kits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0</w:t>
            </w:r>
          </w:p>
        </w:tc>
      </w:tr>
      <w:tr w:rsidR="00C25F15" w:rsidRPr="000F30DC" w:rsidTr="006E7CAB">
        <w:trPr>
          <w:cantSplit/>
          <w:trHeight w:val="270"/>
          <w:jc w:val="center"/>
        </w:trPr>
        <w:tc>
          <w:tcPr>
            <w:tcW w:w="3165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Torchiers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0</w:t>
            </w:r>
          </w:p>
        </w:tc>
      </w:tr>
      <w:tr w:rsidR="00C25F15" w:rsidRPr="000F30DC" w:rsidTr="006E7CAB">
        <w:trPr>
          <w:cantSplit/>
          <w:trHeight w:val="270"/>
          <w:jc w:val="center"/>
        </w:trPr>
        <w:tc>
          <w:tcPr>
            <w:tcW w:w="3165" w:type="dxa"/>
            <w:tcBorders>
              <w:top w:val="nil"/>
              <w:left w:val="nil"/>
              <w:bottom w:val="double" w:sz="4" w:space="0" w:color="92876D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Residential Heat Pumps</w:t>
            </w:r>
          </w:p>
        </w:tc>
        <w:tc>
          <w:tcPr>
            <w:tcW w:w="2520" w:type="dxa"/>
            <w:tcBorders>
              <w:top w:val="nil"/>
              <w:left w:val="nil"/>
              <w:bottom w:val="double" w:sz="4" w:space="0" w:color="92876D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4.</w:t>
            </w:r>
            <w:r>
              <w:rPr>
                <w:rFonts w:ascii="Arial Narrow" w:hAnsi="Arial Narrow"/>
                <w:noProof/>
                <w:color w:val="000000"/>
                <w:szCs w:val="20"/>
              </w:rPr>
              <w:t>5</w:t>
            </w:r>
          </w:p>
        </w:tc>
        <w:tc>
          <w:tcPr>
            <w:tcW w:w="2250" w:type="dxa"/>
            <w:tcBorders>
              <w:top w:val="nil"/>
              <w:left w:val="nil"/>
              <w:bottom w:val="double" w:sz="4" w:space="0" w:color="92876D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noProof/>
                <w:color w:val="000000"/>
                <w:szCs w:val="20"/>
              </w:rPr>
              <w:t>1.9</w:t>
            </w:r>
          </w:p>
        </w:tc>
      </w:tr>
      <w:tr w:rsidR="00C25F15" w:rsidRPr="000F30DC" w:rsidTr="006E7CAB">
        <w:trPr>
          <w:cantSplit/>
          <w:trHeight w:val="196"/>
          <w:jc w:val="center"/>
        </w:trPr>
        <w:tc>
          <w:tcPr>
            <w:tcW w:w="3165" w:type="dxa"/>
            <w:tcBorders>
              <w:top w:val="double" w:sz="4" w:space="0" w:color="92876D"/>
              <w:left w:val="nil"/>
              <w:bottom w:val="single" w:sz="8" w:space="0" w:color="92876D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spacing w:before="40" w:after="40"/>
              <w:jc w:val="center"/>
              <w:rPr>
                <w:rFonts w:ascii="Arial Narrow" w:hAnsi="Arial Narrow"/>
                <w:b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b/>
                <w:noProof/>
                <w:color w:val="000000"/>
                <w:szCs w:val="20"/>
              </w:rPr>
              <w:t>Total Residential Sector Adjustments</w:t>
            </w:r>
          </w:p>
        </w:tc>
        <w:tc>
          <w:tcPr>
            <w:tcW w:w="2520" w:type="dxa"/>
            <w:tcBorders>
              <w:top w:val="double" w:sz="4" w:space="0" w:color="92876D"/>
              <w:left w:val="nil"/>
              <w:bottom w:val="single" w:sz="8" w:space="0" w:color="92876D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spacing w:before="40" w:after="40"/>
              <w:jc w:val="center"/>
              <w:rPr>
                <w:rFonts w:ascii="Arial Narrow" w:hAnsi="Arial Narrow"/>
                <w:b/>
                <w:color w:val="000000"/>
                <w:szCs w:val="20"/>
              </w:rPr>
            </w:pPr>
            <w:r>
              <w:rPr>
                <w:rFonts w:ascii="Arial Narrow" w:hAnsi="Arial Narrow"/>
                <w:b/>
                <w:noProof/>
                <w:color w:val="000000"/>
                <w:szCs w:val="20"/>
              </w:rPr>
              <w:t>41.5</w:t>
            </w:r>
          </w:p>
        </w:tc>
        <w:tc>
          <w:tcPr>
            <w:tcW w:w="2250" w:type="dxa"/>
            <w:tcBorders>
              <w:top w:val="double" w:sz="4" w:space="0" w:color="92876D"/>
              <w:left w:val="nil"/>
              <w:bottom w:val="single" w:sz="8" w:space="0" w:color="92876D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spacing w:before="40" w:after="40"/>
              <w:jc w:val="center"/>
              <w:rPr>
                <w:rFonts w:ascii="Arial Narrow" w:hAnsi="Arial Narrow"/>
                <w:b/>
                <w:color w:val="000000"/>
                <w:szCs w:val="20"/>
              </w:rPr>
            </w:pPr>
            <w:r w:rsidRPr="000F30DC">
              <w:rPr>
                <w:rFonts w:ascii="Arial Narrow" w:hAnsi="Arial Narrow"/>
                <w:b/>
                <w:noProof/>
                <w:color w:val="000000"/>
                <w:szCs w:val="20"/>
              </w:rPr>
              <w:t>17.4</w:t>
            </w:r>
          </w:p>
        </w:tc>
      </w:tr>
    </w:tbl>
    <w:p w:rsidR="009F03AF" w:rsidRDefault="009F03AF" w:rsidP="009F03AF">
      <w:pPr>
        <w:pStyle w:val="Caption"/>
      </w:pPr>
    </w:p>
    <w:p w:rsidR="009F03AF" w:rsidRDefault="00090EBA" w:rsidP="009F03AF">
      <w:pPr>
        <w:pStyle w:val="Caption"/>
      </w:pPr>
      <w:proofErr w:type="gramStart"/>
      <w:r>
        <w:t>Table 6</w:t>
      </w:r>
      <w:r w:rsidR="009F03AF">
        <w:rPr>
          <w:noProof/>
        </w:rPr>
        <w:t>.</w:t>
      </w:r>
      <w:proofErr w:type="gramEnd"/>
      <w:r w:rsidR="009F03AF" w:rsidRPr="00CE2D3C">
        <w:t xml:space="preserve"> </w:t>
      </w:r>
      <w:r w:rsidR="009F03AF">
        <w:t xml:space="preserve">Commercial Products’ </w:t>
      </w:r>
      <w:r w:rsidR="00FB24C9">
        <w:t xml:space="preserve">one- time </w:t>
      </w:r>
      <w:r w:rsidR="009F03AF">
        <w:t xml:space="preserve">Baseline Adjustments </w:t>
      </w:r>
      <w:bookmarkEnd w:id="13"/>
    </w:p>
    <w:tbl>
      <w:tblPr>
        <w:tblW w:w="8115" w:type="dxa"/>
        <w:jc w:val="center"/>
        <w:tblLook w:val="04E0" w:firstRow="1" w:lastRow="1" w:firstColumn="1" w:lastColumn="0" w:noHBand="0" w:noVBand="1"/>
      </w:tblPr>
      <w:tblGrid>
        <w:gridCol w:w="3255"/>
        <w:gridCol w:w="2520"/>
        <w:gridCol w:w="2340"/>
      </w:tblGrid>
      <w:tr w:rsidR="00C25F15" w:rsidRPr="000F30DC" w:rsidTr="006E7CAB">
        <w:trPr>
          <w:trHeight w:val="576"/>
          <w:jc w:val="center"/>
        </w:trPr>
        <w:tc>
          <w:tcPr>
            <w:tcW w:w="3255" w:type="dxa"/>
            <w:tcBorders>
              <w:top w:val="single" w:sz="8" w:space="0" w:color="DDD9C3"/>
              <w:left w:val="nil"/>
              <w:bottom w:val="single" w:sz="8" w:space="0" w:color="C5A41C"/>
              <w:right w:val="nil"/>
            </w:tcBorders>
            <w:shd w:val="clear" w:color="000000" w:fill="92876D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b/>
                <w:bCs/>
                <w:color w:val="FFFFFF"/>
                <w:szCs w:val="20"/>
              </w:rPr>
            </w:pPr>
            <w:r w:rsidRPr="000F30DC">
              <w:rPr>
                <w:rFonts w:ascii="Arial Narrow" w:hAnsi="Arial Narrow"/>
                <w:b/>
                <w:bCs/>
                <w:noProof/>
                <w:color w:val="FFFFFF" w:themeColor="background1"/>
                <w:szCs w:val="20"/>
              </w:rPr>
              <w:t>Product</w:t>
            </w:r>
          </w:p>
        </w:tc>
        <w:tc>
          <w:tcPr>
            <w:tcW w:w="2520" w:type="dxa"/>
            <w:tcBorders>
              <w:top w:val="single" w:sz="8" w:space="0" w:color="DDD9C3"/>
              <w:left w:val="nil"/>
              <w:bottom w:val="single" w:sz="8" w:space="0" w:color="C5A41C"/>
              <w:right w:val="nil"/>
            </w:tcBorders>
            <w:shd w:val="clear" w:color="000000" w:fill="92876D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b/>
                <w:bCs/>
                <w:color w:val="FFFFFF"/>
                <w:szCs w:val="20"/>
              </w:rPr>
            </w:pPr>
            <w:r w:rsidRPr="000F30DC">
              <w:rPr>
                <w:rFonts w:ascii="Arial Narrow" w:hAnsi="Arial Narrow"/>
                <w:b/>
                <w:bCs/>
                <w:noProof/>
                <w:color w:val="FFFFFF" w:themeColor="background1"/>
                <w:szCs w:val="20"/>
              </w:rPr>
              <w:t>Regional Sixth Plan Baseline Adjustments (aMW)</w:t>
            </w:r>
          </w:p>
        </w:tc>
        <w:tc>
          <w:tcPr>
            <w:tcW w:w="2340" w:type="dxa"/>
            <w:tcBorders>
              <w:top w:val="single" w:sz="8" w:space="0" w:color="DDD9C3"/>
              <w:left w:val="nil"/>
              <w:bottom w:val="single" w:sz="8" w:space="0" w:color="C5A41C"/>
              <w:right w:val="nil"/>
            </w:tcBorders>
            <w:shd w:val="clear" w:color="000000" w:fill="92876D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b/>
                <w:bCs/>
                <w:color w:val="FFFFFF"/>
                <w:szCs w:val="20"/>
              </w:rPr>
            </w:pPr>
            <w:r w:rsidRPr="000F30DC">
              <w:rPr>
                <w:rFonts w:ascii="Arial Narrow" w:hAnsi="Arial Narrow"/>
                <w:b/>
                <w:bCs/>
                <w:noProof/>
                <w:color w:val="FFFFFF" w:themeColor="background1"/>
                <w:szCs w:val="20"/>
              </w:rPr>
              <w:t>BPA Sixth Plan Baseline Adjustments (aMW)</w:t>
            </w:r>
          </w:p>
        </w:tc>
      </w:tr>
      <w:tr w:rsidR="00C25F15" w:rsidRPr="000F30DC" w:rsidTr="006E7CAB">
        <w:trPr>
          <w:cantSplit/>
          <w:trHeight w:val="270"/>
          <w:jc w:val="center"/>
        </w:trPr>
        <w:tc>
          <w:tcPr>
            <w:tcW w:w="3255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rPr>
                <w:rFonts w:ascii="Arial Narrow" w:hAnsi="Arial Narrow"/>
                <w:noProof/>
              </w:rPr>
            </w:pPr>
            <w:r w:rsidRPr="000F30DC">
              <w:rPr>
                <w:rFonts w:ascii="Arial Narrow" w:hAnsi="Arial Narrow"/>
                <w:noProof/>
              </w:rPr>
              <w:t>Commercial Clothes Washers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noProof/>
              </w:rPr>
            </w:pPr>
            <w:r w:rsidRPr="000F30DC">
              <w:rPr>
                <w:rFonts w:ascii="Arial Narrow" w:hAnsi="Arial Narrow"/>
                <w:noProof/>
              </w:rPr>
              <w:t>0.0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noProof/>
              </w:rPr>
            </w:pPr>
            <w:r w:rsidRPr="000F30DC">
              <w:rPr>
                <w:rFonts w:ascii="Arial Narrow" w:hAnsi="Arial Narrow"/>
                <w:noProof/>
              </w:rPr>
              <w:t>0.0</w:t>
            </w:r>
          </w:p>
        </w:tc>
      </w:tr>
      <w:tr w:rsidR="00C25F15" w:rsidRPr="000F30DC" w:rsidTr="006E7CAB">
        <w:trPr>
          <w:cantSplit/>
          <w:trHeight w:val="270"/>
          <w:jc w:val="center"/>
        </w:trPr>
        <w:tc>
          <w:tcPr>
            <w:tcW w:w="3255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rPr>
                <w:rFonts w:ascii="Arial Narrow" w:hAnsi="Arial Narrow"/>
                <w:noProof/>
              </w:rPr>
            </w:pPr>
            <w:r w:rsidRPr="000F30DC">
              <w:rPr>
                <w:rFonts w:ascii="Arial Narrow" w:hAnsi="Arial Narrow"/>
                <w:noProof/>
              </w:rPr>
              <w:t>Illuminated Exit Signs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noProof/>
              </w:rPr>
            </w:pPr>
            <w:r w:rsidRPr="000F30DC">
              <w:rPr>
                <w:rFonts w:ascii="Arial Narrow" w:hAnsi="Arial Narrow"/>
                <w:noProof/>
              </w:rPr>
              <w:t>2.</w:t>
            </w:r>
            <w:r>
              <w:rPr>
                <w:rFonts w:ascii="Arial Narrow" w:hAnsi="Arial Narrow"/>
                <w:noProof/>
              </w:rPr>
              <w:t>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noProof/>
              </w:rPr>
            </w:pPr>
            <w:r w:rsidRPr="000F30DC">
              <w:rPr>
                <w:rFonts w:ascii="Arial Narrow" w:hAnsi="Arial Narrow"/>
                <w:noProof/>
              </w:rPr>
              <w:t>1.1</w:t>
            </w:r>
          </w:p>
        </w:tc>
      </w:tr>
      <w:tr w:rsidR="00C25F15" w:rsidRPr="000F30DC" w:rsidTr="006E7CAB">
        <w:trPr>
          <w:cantSplit/>
          <w:trHeight w:val="270"/>
          <w:jc w:val="center"/>
        </w:trPr>
        <w:tc>
          <w:tcPr>
            <w:tcW w:w="3255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rPr>
                <w:rFonts w:ascii="Arial Narrow" w:hAnsi="Arial Narrow"/>
                <w:noProof/>
              </w:rPr>
            </w:pPr>
            <w:r w:rsidRPr="000F30DC">
              <w:rPr>
                <w:rFonts w:ascii="Arial Narrow" w:hAnsi="Arial Narrow"/>
                <w:noProof/>
              </w:rPr>
              <w:t>Pre-Rinse Spray Valves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noProof/>
              </w:rPr>
            </w:pPr>
            <w:r w:rsidRPr="000F30DC">
              <w:rPr>
                <w:rFonts w:ascii="Arial Narrow" w:hAnsi="Arial Narrow"/>
                <w:noProof/>
              </w:rPr>
              <w:t>-0.1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noProof/>
              </w:rPr>
            </w:pPr>
            <w:r w:rsidRPr="000F30DC">
              <w:rPr>
                <w:rFonts w:ascii="Arial Narrow" w:hAnsi="Arial Narrow"/>
                <w:noProof/>
              </w:rPr>
              <w:t>0.0</w:t>
            </w:r>
          </w:p>
        </w:tc>
      </w:tr>
      <w:tr w:rsidR="00C25F15" w:rsidRPr="000F30DC" w:rsidTr="006E7CAB">
        <w:trPr>
          <w:cantSplit/>
          <w:trHeight w:val="270"/>
          <w:jc w:val="center"/>
        </w:trPr>
        <w:tc>
          <w:tcPr>
            <w:tcW w:w="3255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rPr>
                <w:rFonts w:ascii="Arial Narrow" w:hAnsi="Arial Narrow"/>
                <w:noProof/>
              </w:rPr>
            </w:pPr>
            <w:r w:rsidRPr="000F30DC">
              <w:rPr>
                <w:rFonts w:ascii="Arial Narrow" w:hAnsi="Arial Narrow"/>
                <w:noProof/>
              </w:rPr>
              <w:t>Commercial Refrigeration Equipments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noProof/>
              </w:rPr>
            </w:pPr>
            <w:r w:rsidRPr="000F30DC">
              <w:rPr>
                <w:rFonts w:ascii="Arial Narrow" w:hAnsi="Arial Narrow"/>
                <w:noProof/>
              </w:rPr>
              <w:t>0.2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noProof/>
              </w:rPr>
            </w:pPr>
            <w:r w:rsidRPr="000F30DC">
              <w:rPr>
                <w:rFonts w:ascii="Arial Narrow" w:hAnsi="Arial Narrow"/>
                <w:noProof/>
              </w:rPr>
              <w:t>0.1</w:t>
            </w:r>
          </w:p>
        </w:tc>
      </w:tr>
      <w:tr w:rsidR="00C25F15" w:rsidRPr="000F30DC" w:rsidTr="006E7CAB">
        <w:trPr>
          <w:cantSplit/>
          <w:trHeight w:val="270"/>
          <w:jc w:val="center"/>
        </w:trPr>
        <w:tc>
          <w:tcPr>
            <w:tcW w:w="3255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rPr>
                <w:rFonts w:ascii="Arial Narrow" w:hAnsi="Arial Narrow"/>
                <w:noProof/>
              </w:rPr>
            </w:pPr>
            <w:r w:rsidRPr="000F30DC">
              <w:rPr>
                <w:rFonts w:ascii="Arial Narrow" w:hAnsi="Arial Narrow"/>
                <w:noProof/>
              </w:rPr>
              <w:t>Walk-</w:t>
            </w:r>
            <w:r>
              <w:rPr>
                <w:rFonts w:ascii="Arial Narrow" w:hAnsi="Arial Narrow"/>
                <w:noProof/>
              </w:rPr>
              <w:t>I</w:t>
            </w:r>
            <w:r w:rsidRPr="000F30DC">
              <w:rPr>
                <w:rFonts w:ascii="Arial Narrow" w:hAnsi="Arial Narrow"/>
                <w:noProof/>
              </w:rPr>
              <w:t>n Coolers and Freezers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noProof/>
              </w:rPr>
            </w:pPr>
            <w:r w:rsidRPr="000F30DC">
              <w:rPr>
                <w:rFonts w:ascii="Arial Narrow" w:hAnsi="Arial Narrow"/>
                <w:noProof/>
              </w:rPr>
              <w:t>0.0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noProof/>
              </w:rPr>
            </w:pPr>
            <w:r w:rsidRPr="000F30DC">
              <w:rPr>
                <w:rFonts w:ascii="Arial Narrow" w:hAnsi="Arial Narrow"/>
                <w:noProof/>
              </w:rPr>
              <w:t>0.0</w:t>
            </w:r>
          </w:p>
        </w:tc>
      </w:tr>
      <w:tr w:rsidR="00C25F15" w:rsidRPr="000F30DC" w:rsidTr="006E7CAB">
        <w:trPr>
          <w:cantSplit/>
          <w:trHeight w:val="270"/>
          <w:jc w:val="center"/>
        </w:trPr>
        <w:tc>
          <w:tcPr>
            <w:tcW w:w="3255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rPr>
                <w:rFonts w:ascii="Arial Narrow" w:hAnsi="Arial Narrow"/>
                <w:noProof/>
              </w:rPr>
            </w:pPr>
            <w:r w:rsidRPr="000F30DC">
              <w:rPr>
                <w:rFonts w:ascii="Arial Narrow" w:hAnsi="Arial Narrow"/>
                <w:noProof/>
              </w:rPr>
              <w:t>Electric Motors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noProof/>
              </w:rPr>
            </w:pPr>
            <w:r w:rsidRPr="000F30DC">
              <w:rPr>
                <w:rFonts w:ascii="Arial Narrow" w:hAnsi="Arial Narrow"/>
                <w:noProof/>
              </w:rPr>
              <w:t>0.0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noProof/>
              </w:rPr>
            </w:pPr>
            <w:r w:rsidRPr="000F30DC">
              <w:rPr>
                <w:rFonts w:ascii="Arial Narrow" w:hAnsi="Arial Narrow"/>
                <w:noProof/>
              </w:rPr>
              <w:t>0.0</w:t>
            </w:r>
          </w:p>
        </w:tc>
      </w:tr>
      <w:tr w:rsidR="00C25F15" w:rsidRPr="000F30DC" w:rsidTr="006E7CAB">
        <w:trPr>
          <w:cantSplit/>
          <w:trHeight w:val="270"/>
          <w:jc w:val="center"/>
        </w:trPr>
        <w:tc>
          <w:tcPr>
            <w:tcW w:w="3255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rPr>
                <w:rFonts w:ascii="Arial Narrow" w:hAnsi="Arial Narrow"/>
                <w:noProof/>
              </w:rPr>
            </w:pPr>
            <w:r w:rsidRPr="000F30DC">
              <w:rPr>
                <w:rFonts w:ascii="Arial Narrow" w:hAnsi="Arial Narrow"/>
                <w:noProof/>
              </w:rPr>
              <w:t>Distribution Transformers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noProof/>
              </w:rPr>
            </w:pPr>
            <w:r w:rsidRPr="000F30DC">
              <w:rPr>
                <w:rFonts w:ascii="Arial Narrow" w:hAnsi="Arial Narrow"/>
                <w:noProof/>
              </w:rPr>
              <w:t>0.0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DDD9C3"/>
              <w:right w:val="nil"/>
            </w:tcBorders>
            <w:shd w:val="clear" w:color="auto" w:fill="auto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noProof/>
              </w:rPr>
            </w:pPr>
            <w:r w:rsidRPr="000F30DC">
              <w:rPr>
                <w:rFonts w:ascii="Arial Narrow" w:hAnsi="Arial Narrow"/>
                <w:noProof/>
              </w:rPr>
              <w:t>0.0</w:t>
            </w:r>
          </w:p>
        </w:tc>
      </w:tr>
      <w:tr w:rsidR="00C25F15" w:rsidRPr="000F30DC" w:rsidTr="006E7CAB">
        <w:trPr>
          <w:cantSplit/>
          <w:trHeight w:val="270"/>
          <w:jc w:val="center"/>
        </w:trPr>
        <w:tc>
          <w:tcPr>
            <w:tcW w:w="3255" w:type="dxa"/>
            <w:tcBorders>
              <w:top w:val="nil"/>
              <w:left w:val="nil"/>
              <w:bottom w:val="double" w:sz="4" w:space="0" w:color="92876D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rPr>
                <w:rFonts w:ascii="Arial Narrow" w:hAnsi="Arial Narrow"/>
                <w:noProof/>
              </w:rPr>
            </w:pPr>
            <w:r w:rsidRPr="000F30DC">
              <w:rPr>
                <w:rFonts w:ascii="Arial Narrow" w:hAnsi="Arial Narrow"/>
                <w:noProof/>
              </w:rPr>
              <w:t>HVAC Equipments</w:t>
            </w:r>
          </w:p>
        </w:tc>
        <w:tc>
          <w:tcPr>
            <w:tcW w:w="2520" w:type="dxa"/>
            <w:tcBorders>
              <w:top w:val="nil"/>
              <w:left w:val="nil"/>
              <w:bottom w:val="double" w:sz="4" w:space="0" w:color="92876D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noProof/>
              </w:rPr>
            </w:pPr>
            <w:r w:rsidRPr="000F30DC">
              <w:rPr>
                <w:rFonts w:ascii="Arial Narrow" w:hAnsi="Arial Narrow"/>
                <w:noProof/>
              </w:rPr>
              <w:t>0.0</w:t>
            </w:r>
          </w:p>
        </w:tc>
        <w:tc>
          <w:tcPr>
            <w:tcW w:w="2340" w:type="dxa"/>
            <w:tcBorders>
              <w:top w:val="nil"/>
              <w:left w:val="nil"/>
              <w:bottom w:val="double" w:sz="4" w:space="0" w:color="92876D"/>
              <w:right w:val="nil"/>
            </w:tcBorders>
            <w:shd w:val="clear" w:color="000000" w:fill="DDD9C3"/>
            <w:vAlign w:val="center"/>
            <w:hideMark/>
          </w:tcPr>
          <w:p w:rsidR="00C25F15" w:rsidRPr="000F30DC" w:rsidRDefault="00C25F15" w:rsidP="006E7CAB">
            <w:pPr>
              <w:keepNext/>
              <w:keepLines/>
              <w:spacing w:before="40" w:after="40"/>
              <w:jc w:val="center"/>
              <w:rPr>
                <w:rFonts w:ascii="Arial Narrow" w:hAnsi="Arial Narrow"/>
                <w:noProof/>
              </w:rPr>
            </w:pPr>
            <w:r w:rsidRPr="000F30DC">
              <w:rPr>
                <w:rFonts w:ascii="Arial Narrow" w:hAnsi="Arial Narrow"/>
                <w:noProof/>
              </w:rPr>
              <w:t>0.0</w:t>
            </w:r>
          </w:p>
        </w:tc>
      </w:tr>
      <w:tr w:rsidR="00C25F15" w:rsidRPr="000F30DC" w:rsidTr="006E7CAB">
        <w:trPr>
          <w:cantSplit/>
          <w:trHeight w:val="270"/>
          <w:jc w:val="center"/>
        </w:trPr>
        <w:tc>
          <w:tcPr>
            <w:tcW w:w="3255" w:type="dxa"/>
            <w:tcBorders>
              <w:top w:val="double" w:sz="4" w:space="0" w:color="92876D"/>
              <w:left w:val="nil"/>
              <w:bottom w:val="single" w:sz="8" w:space="0" w:color="92876D"/>
              <w:right w:val="nil"/>
            </w:tcBorders>
            <w:shd w:val="clear" w:color="auto" w:fill="auto"/>
            <w:vAlign w:val="center"/>
            <w:hideMark/>
          </w:tcPr>
          <w:p w:rsidR="00C25F15" w:rsidRPr="00C572E5" w:rsidRDefault="00C25F15" w:rsidP="006E7CAB">
            <w:pPr>
              <w:spacing w:before="40" w:after="40"/>
              <w:jc w:val="center"/>
              <w:rPr>
                <w:rFonts w:ascii="Arial Narrow" w:hAnsi="Arial Narrow"/>
                <w:b/>
                <w:noProof/>
              </w:rPr>
            </w:pPr>
            <w:r w:rsidRPr="00C572E5">
              <w:rPr>
                <w:rFonts w:ascii="Arial Narrow" w:hAnsi="Arial Narrow"/>
                <w:b/>
                <w:noProof/>
              </w:rPr>
              <w:t>Total Commercial Sector Adjustments</w:t>
            </w:r>
          </w:p>
        </w:tc>
        <w:tc>
          <w:tcPr>
            <w:tcW w:w="2520" w:type="dxa"/>
            <w:tcBorders>
              <w:top w:val="double" w:sz="4" w:space="0" w:color="92876D"/>
              <w:left w:val="nil"/>
              <w:bottom w:val="single" w:sz="8" w:space="0" w:color="92876D"/>
              <w:right w:val="nil"/>
            </w:tcBorders>
            <w:shd w:val="clear" w:color="auto" w:fill="auto"/>
            <w:vAlign w:val="center"/>
            <w:hideMark/>
          </w:tcPr>
          <w:p w:rsidR="00C25F15" w:rsidRPr="00C572E5" w:rsidRDefault="00C25F15" w:rsidP="006E7CAB">
            <w:pPr>
              <w:spacing w:before="40" w:after="40"/>
              <w:jc w:val="center"/>
              <w:rPr>
                <w:rFonts w:ascii="Arial Narrow" w:hAnsi="Arial Narrow"/>
                <w:b/>
                <w:noProof/>
              </w:rPr>
            </w:pPr>
            <w:r w:rsidRPr="00C572E5">
              <w:rPr>
                <w:rFonts w:ascii="Arial Narrow" w:hAnsi="Arial Narrow"/>
                <w:b/>
                <w:noProof/>
              </w:rPr>
              <w:t>2.</w:t>
            </w:r>
            <w:r>
              <w:rPr>
                <w:rFonts w:ascii="Arial Narrow" w:hAnsi="Arial Narrow"/>
                <w:b/>
                <w:noProof/>
              </w:rPr>
              <w:t>9</w:t>
            </w:r>
          </w:p>
        </w:tc>
        <w:tc>
          <w:tcPr>
            <w:tcW w:w="2340" w:type="dxa"/>
            <w:tcBorders>
              <w:top w:val="double" w:sz="4" w:space="0" w:color="92876D"/>
              <w:left w:val="nil"/>
              <w:bottom w:val="single" w:sz="8" w:space="0" w:color="92876D"/>
              <w:right w:val="nil"/>
            </w:tcBorders>
            <w:shd w:val="clear" w:color="auto" w:fill="auto"/>
            <w:vAlign w:val="center"/>
            <w:hideMark/>
          </w:tcPr>
          <w:p w:rsidR="00C25F15" w:rsidRPr="00C572E5" w:rsidRDefault="00C25F15" w:rsidP="006E7CAB">
            <w:pPr>
              <w:spacing w:before="40" w:after="40"/>
              <w:jc w:val="center"/>
              <w:rPr>
                <w:rFonts w:ascii="Arial Narrow" w:hAnsi="Arial Narrow"/>
                <w:b/>
                <w:noProof/>
              </w:rPr>
            </w:pPr>
            <w:r w:rsidRPr="00C572E5">
              <w:rPr>
                <w:rFonts w:ascii="Arial Narrow" w:hAnsi="Arial Narrow"/>
                <w:b/>
                <w:noProof/>
              </w:rPr>
              <w:t>1.2</w:t>
            </w:r>
          </w:p>
        </w:tc>
      </w:tr>
    </w:tbl>
    <w:p w:rsidR="008353DE" w:rsidRDefault="008353DE" w:rsidP="008353DE">
      <w:pPr>
        <w:pStyle w:val="Caption"/>
        <w:jc w:val="left"/>
        <w:rPr>
          <w:color w:val="auto"/>
        </w:rPr>
      </w:pPr>
    </w:p>
    <w:p w:rsidR="008353DE" w:rsidRDefault="008353DE" w:rsidP="00090EBA">
      <w:pPr>
        <w:pStyle w:val="Caption"/>
        <w:jc w:val="left"/>
        <w:rPr>
          <w:color w:val="auto"/>
        </w:rPr>
      </w:pPr>
      <w:r w:rsidRPr="008353DE">
        <w:rPr>
          <w:color w:val="auto"/>
        </w:rPr>
        <w:t xml:space="preserve">Product Standards with Effective Date between 2005 </w:t>
      </w:r>
      <w:r>
        <w:rPr>
          <w:color w:val="auto"/>
        </w:rPr>
        <w:t xml:space="preserve">and </w:t>
      </w:r>
      <w:r w:rsidRPr="008353DE">
        <w:rPr>
          <w:color w:val="auto"/>
        </w:rPr>
        <w:t>2015</w:t>
      </w:r>
    </w:p>
    <w:p w:rsidR="0050700F" w:rsidRDefault="0050700F" w:rsidP="0050700F">
      <w:r>
        <w:t xml:space="preserve">The following table lists product standards with effective dates between 2005 and 2015. </w:t>
      </w:r>
    </w:p>
    <w:p w:rsidR="0050700F" w:rsidRPr="0050700F" w:rsidRDefault="0050700F" w:rsidP="0050700F"/>
    <w:p w:rsidR="008353DE" w:rsidRPr="008353DE" w:rsidRDefault="00090EBA" w:rsidP="008353DE">
      <w:pPr>
        <w:pStyle w:val="Caption"/>
      </w:pPr>
      <w:proofErr w:type="gramStart"/>
      <w:r>
        <w:t>Table 7</w:t>
      </w:r>
      <w:r w:rsidR="008353DE">
        <w:rPr>
          <w:noProof/>
        </w:rPr>
        <w:t>.</w:t>
      </w:r>
      <w:proofErr w:type="gramEnd"/>
      <w:r w:rsidR="008353DE" w:rsidRPr="00CE2D3C">
        <w:t xml:space="preserve"> </w:t>
      </w:r>
      <w:r w:rsidR="008353DE">
        <w:t xml:space="preserve">Standard Effective Date by Product </w:t>
      </w:r>
    </w:p>
    <w:tbl>
      <w:tblPr>
        <w:tblStyle w:val="EnergyTable"/>
        <w:tblW w:w="4839" w:type="pct"/>
        <w:tblLayout w:type="fixed"/>
        <w:tblLook w:val="04A0" w:firstRow="1" w:lastRow="0" w:firstColumn="1" w:lastColumn="0" w:noHBand="0" w:noVBand="1"/>
      </w:tblPr>
      <w:tblGrid>
        <w:gridCol w:w="3673"/>
        <w:gridCol w:w="1399"/>
        <w:gridCol w:w="1399"/>
        <w:gridCol w:w="1399"/>
        <w:gridCol w:w="1398"/>
      </w:tblGrid>
      <w:tr w:rsidR="008353DE" w:rsidRPr="002822CE" w:rsidTr="005070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4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tcBorders>
              <w:bottom w:val="single" w:sz="8" w:space="0" w:color="DDD9C3"/>
            </w:tcBorders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bCs/>
                <w:szCs w:val="20"/>
              </w:rPr>
            </w:pPr>
            <w:r w:rsidRPr="002822CE">
              <w:rPr>
                <w:rFonts w:ascii="Arial Narrow" w:hAnsi="Arial Narrow" w:cs="Calibri"/>
                <w:bCs/>
                <w:szCs w:val="20"/>
              </w:rPr>
              <w:t>Product</w:t>
            </w:r>
          </w:p>
        </w:tc>
        <w:tc>
          <w:tcPr>
            <w:tcW w:w="755" w:type="pct"/>
            <w:tcBorders>
              <w:bottom w:val="single" w:sz="8" w:space="0" w:color="DDD9C3"/>
            </w:tcBorders>
            <w:hideMark/>
          </w:tcPr>
          <w:p w:rsidR="008353DE" w:rsidRPr="002822CE" w:rsidRDefault="008353DE" w:rsidP="0050700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bCs/>
                <w:szCs w:val="20"/>
              </w:rPr>
            </w:pPr>
            <w:r w:rsidRPr="002822CE">
              <w:rPr>
                <w:rFonts w:ascii="Arial Narrow" w:hAnsi="Arial Narrow" w:cs="Calibri"/>
                <w:bCs/>
                <w:szCs w:val="20"/>
              </w:rPr>
              <w:t>Initial Federal Legislation</w:t>
            </w:r>
          </w:p>
        </w:tc>
        <w:tc>
          <w:tcPr>
            <w:tcW w:w="755" w:type="pct"/>
            <w:tcBorders>
              <w:bottom w:val="single" w:sz="8" w:space="0" w:color="DDD9C3"/>
            </w:tcBorders>
            <w:hideMark/>
          </w:tcPr>
          <w:p w:rsidR="008353DE" w:rsidRPr="002822CE" w:rsidRDefault="008353DE" w:rsidP="0050700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bCs/>
                <w:szCs w:val="20"/>
              </w:rPr>
            </w:pPr>
            <w:r w:rsidRPr="002822CE">
              <w:rPr>
                <w:rFonts w:ascii="Arial Narrow" w:hAnsi="Arial Narrow" w:cs="Calibri"/>
                <w:bCs/>
                <w:szCs w:val="20"/>
              </w:rPr>
              <w:t>Last Standard Issued</w:t>
            </w:r>
          </w:p>
        </w:tc>
        <w:tc>
          <w:tcPr>
            <w:tcW w:w="755" w:type="pct"/>
            <w:tcBorders>
              <w:bottom w:val="single" w:sz="8" w:space="0" w:color="DDD9C3"/>
            </w:tcBorders>
            <w:hideMark/>
          </w:tcPr>
          <w:p w:rsidR="008353DE" w:rsidRPr="002822CE" w:rsidRDefault="008353DE" w:rsidP="0050700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bCs/>
                <w:szCs w:val="20"/>
              </w:rPr>
            </w:pPr>
            <w:r w:rsidRPr="002822CE">
              <w:rPr>
                <w:rFonts w:ascii="Arial Narrow" w:hAnsi="Arial Narrow" w:cs="Calibri"/>
                <w:bCs/>
                <w:szCs w:val="20"/>
              </w:rPr>
              <w:t>Effective Date of Last Standard</w:t>
            </w:r>
          </w:p>
        </w:tc>
        <w:tc>
          <w:tcPr>
            <w:tcW w:w="755" w:type="pct"/>
            <w:tcBorders>
              <w:bottom w:val="single" w:sz="8" w:space="0" w:color="DDD9C3"/>
            </w:tcBorders>
            <w:hideMark/>
          </w:tcPr>
          <w:p w:rsidR="008353DE" w:rsidRPr="002822CE" w:rsidRDefault="008353DE" w:rsidP="0050700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bCs/>
                <w:szCs w:val="20"/>
              </w:rPr>
            </w:pPr>
            <w:r w:rsidRPr="002822CE">
              <w:rPr>
                <w:rFonts w:ascii="Arial Narrow" w:hAnsi="Arial Narrow" w:cs="Calibri"/>
                <w:bCs/>
                <w:szCs w:val="20"/>
              </w:rPr>
              <w:t>Issued By</w:t>
            </w:r>
          </w:p>
        </w:tc>
      </w:tr>
      <w:tr w:rsidR="008353DE" w:rsidRPr="002822CE" w:rsidTr="0050700F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tcBorders>
              <w:bottom w:val="single" w:sz="8" w:space="0" w:color="365F91" w:themeColor="accent1" w:themeShade="BF"/>
            </w:tcBorders>
            <w:shd w:val="clear" w:color="auto" w:fill="C4BC96" w:themeFill="background2" w:themeFillShade="BF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b/>
                <w:bCs/>
                <w:color w:val="FFFFFF" w:themeColor="background1"/>
                <w:szCs w:val="20"/>
              </w:rPr>
            </w:pPr>
            <w:r w:rsidRPr="002822CE">
              <w:rPr>
                <w:rFonts w:ascii="Arial Narrow" w:hAnsi="Arial Narrow" w:cs="Calibri"/>
                <w:b/>
                <w:bCs/>
                <w:color w:val="FFFFFF" w:themeColor="background1"/>
                <w:szCs w:val="20"/>
              </w:rPr>
              <w:t>Residential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tcBorders>
              <w:top w:val="single" w:sz="8" w:space="0" w:color="365F91" w:themeColor="accent1" w:themeShade="BF"/>
            </w:tcBorders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Residential Refrigerators and Freezers</w:t>
            </w:r>
          </w:p>
        </w:tc>
        <w:tc>
          <w:tcPr>
            <w:tcW w:w="755" w:type="pct"/>
            <w:tcBorders>
              <w:top w:val="single" w:sz="8" w:space="0" w:color="365F91" w:themeColor="accent1" w:themeShade="BF"/>
            </w:tcBorders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NAECA 1987</w:t>
            </w:r>
          </w:p>
        </w:tc>
        <w:tc>
          <w:tcPr>
            <w:tcW w:w="755" w:type="pct"/>
            <w:tcBorders>
              <w:top w:val="single" w:sz="8" w:space="0" w:color="365F91" w:themeColor="accent1" w:themeShade="BF"/>
            </w:tcBorders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2011</w:t>
            </w:r>
          </w:p>
        </w:tc>
        <w:tc>
          <w:tcPr>
            <w:tcW w:w="755" w:type="pct"/>
            <w:tcBorders>
              <w:top w:val="single" w:sz="8" w:space="0" w:color="365F91" w:themeColor="accent1" w:themeShade="BF"/>
            </w:tcBorders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2014</w:t>
            </w:r>
          </w:p>
        </w:tc>
        <w:tc>
          <w:tcPr>
            <w:tcW w:w="755" w:type="pct"/>
            <w:tcBorders>
              <w:top w:val="single" w:sz="8" w:space="0" w:color="365F91" w:themeColor="accent1" w:themeShade="BF"/>
            </w:tcBorders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DOE</w:t>
            </w:r>
          </w:p>
        </w:tc>
      </w:tr>
      <w:tr w:rsidR="008353DE" w:rsidRPr="002822CE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Central Air Conditioners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1992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2006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DOE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noWrap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External Power Supplies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2007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2008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Congress</w:t>
            </w:r>
          </w:p>
        </w:tc>
      </w:tr>
      <w:tr w:rsidR="008353DE" w:rsidRPr="002822CE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Heat Pumps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1992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2006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DOE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Dishwashers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NAECA 1987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2013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DOE</w:t>
            </w:r>
          </w:p>
        </w:tc>
      </w:tr>
      <w:tr w:rsidR="008353DE" w:rsidRPr="002822CE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Residential Clothes Washers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NAECA 1987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DOE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Dehumidifiers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2007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Congress</w:t>
            </w:r>
          </w:p>
        </w:tc>
      </w:tr>
      <w:tr w:rsidR="008353DE" w:rsidRPr="002822CE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noWrap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Boilers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NAECA 1987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2007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Congress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Residential Room Air Conditioners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NAECA 1987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2011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2014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DOE</w:t>
            </w:r>
          </w:p>
        </w:tc>
      </w:tr>
      <w:tr w:rsidR="008353DE" w:rsidRPr="002822CE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Direct Heating Equipment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NAECA 1987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2010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2013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DOE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Cooking Ranges and Ovens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NAECA 1987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2009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DOE</w:t>
            </w:r>
          </w:p>
        </w:tc>
      </w:tr>
      <w:tr w:rsidR="008353DE" w:rsidRPr="002822CE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Pool Heaters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NAECA 1987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2010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2013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DOE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noWrap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Compact Audio Equipment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None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</w:tr>
      <w:tr w:rsidR="008353DE" w:rsidRPr="002822CE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DVD Players and Recorders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None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Pool Pumps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None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</w:tr>
      <w:tr w:rsidR="008353DE" w:rsidRPr="002822CE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Portable Electric Spas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None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tcBorders>
              <w:bottom w:val="single" w:sz="8" w:space="0" w:color="DDD9C3"/>
            </w:tcBorders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Residential Ceiling Fans</w:t>
            </w:r>
          </w:p>
        </w:tc>
        <w:tc>
          <w:tcPr>
            <w:tcW w:w="755" w:type="pct"/>
            <w:tcBorders>
              <w:bottom w:val="single" w:sz="8" w:space="0" w:color="DDD9C3"/>
            </w:tcBorders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2005</w:t>
            </w:r>
          </w:p>
        </w:tc>
        <w:tc>
          <w:tcPr>
            <w:tcW w:w="755" w:type="pct"/>
            <w:tcBorders>
              <w:bottom w:val="single" w:sz="8" w:space="0" w:color="DDD9C3"/>
            </w:tcBorders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2005</w:t>
            </w:r>
          </w:p>
        </w:tc>
        <w:tc>
          <w:tcPr>
            <w:tcW w:w="755" w:type="pct"/>
            <w:tcBorders>
              <w:bottom w:val="single" w:sz="8" w:space="0" w:color="DDD9C3"/>
            </w:tcBorders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2007</w:t>
            </w:r>
          </w:p>
        </w:tc>
        <w:tc>
          <w:tcPr>
            <w:tcW w:w="755" w:type="pct"/>
            <w:tcBorders>
              <w:bottom w:val="single" w:sz="8" w:space="0" w:color="DDD9C3"/>
            </w:tcBorders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Congress</w:t>
            </w:r>
          </w:p>
        </w:tc>
      </w:tr>
      <w:tr w:rsidR="008353DE" w:rsidRPr="002822CE" w:rsidTr="0050700F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tcBorders>
              <w:bottom w:val="single" w:sz="8" w:space="0" w:color="365F91" w:themeColor="accent1" w:themeShade="BF"/>
            </w:tcBorders>
            <w:shd w:val="clear" w:color="auto" w:fill="C4BC96" w:themeFill="background2" w:themeFillShade="BF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b/>
                <w:bCs/>
                <w:color w:val="FFFFFF" w:themeColor="background1"/>
                <w:szCs w:val="20"/>
              </w:rPr>
            </w:pPr>
            <w:r w:rsidRPr="002822CE">
              <w:rPr>
                <w:rFonts w:ascii="Arial Narrow" w:hAnsi="Arial Narrow" w:cs="Calibri"/>
                <w:b/>
                <w:bCs/>
                <w:color w:val="FFFFFF" w:themeColor="background1"/>
                <w:szCs w:val="20"/>
              </w:rPr>
              <w:t>Commercial/Industrial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tcBorders>
              <w:top w:val="single" w:sz="8" w:space="0" w:color="365F91" w:themeColor="accent1" w:themeShade="BF"/>
            </w:tcBorders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Distribution Transformers: Liquid-Immersed and Medium-Voltage, Dry-Type</w:t>
            </w:r>
          </w:p>
        </w:tc>
        <w:tc>
          <w:tcPr>
            <w:tcW w:w="755" w:type="pct"/>
            <w:tcBorders>
              <w:top w:val="single" w:sz="8" w:space="0" w:color="365F91" w:themeColor="accent1" w:themeShade="BF"/>
            </w:tcBorders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1992</w:t>
            </w:r>
          </w:p>
        </w:tc>
        <w:tc>
          <w:tcPr>
            <w:tcW w:w="755" w:type="pct"/>
            <w:tcBorders>
              <w:top w:val="single" w:sz="8" w:space="0" w:color="365F91" w:themeColor="accent1" w:themeShade="BF"/>
            </w:tcBorders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2007</w:t>
            </w:r>
          </w:p>
        </w:tc>
        <w:tc>
          <w:tcPr>
            <w:tcW w:w="755" w:type="pct"/>
            <w:tcBorders>
              <w:top w:val="single" w:sz="8" w:space="0" w:color="365F91" w:themeColor="accent1" w:themeShade="BF"/>
            </w:tcBorders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2010</w:t>
            </w:r>
          </w:p>
        </w:tc>
        <w:tc>
          <w:tcPr>
            <w:tcW w:w="755" w:type="pct"/>
            <w:tcBorders>
              <w:top w:val="single" w:sz="8" w:space="0" w:color="365F91" w:themeColor="accent1" w:themeShade="BF"/>
            </w:tcBorders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DOE</w:t>
            </w:r>
          </w:p>
        </w:tc>
      </w:tr>
      <w:tr w:rsidR="008353DE" w:rsidRPr="002822CE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Commercial CAC and HPs (Air-Cooled, Small)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1992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2007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2008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Congress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noWrap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lastRenderedPageBreak/>
              <w:t>Commercial CAC and HPs (Air-Cooled, Large)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1992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2010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Congress</w:t>
            </w:r>
          </w:p>
        </w:tc>
      </w:tr>
      <w:tr w:rsidR="008353DE" w:rsidRPr="002822CE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Walk-In Coolers and Freezers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EISA 2007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2007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2009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Congress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Commercial Refrigeration Equipment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2009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DOE</w:t>
            </w:r>
          </w:p>
        </w:tc>
      </w:tr>
      <w:tr w:rsidR="008353DE" w:rsidRPr="002822CE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Commercial Pre-rinse Spray Valves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2006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Congress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Distribution Transformers: Low-Voltage Dry-Type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2007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Congress</w:t>
            </w:r>
          </w:p>
        </w:tc>
      </w:tr>
      <w:tr w:rsidR="008353DE" w:rsidRPr="002822CE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noWrap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Unit Heaters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2008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Congress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Commercial CAC and HPs (Air-Cooled, Very Large)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1992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2010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Congress</w:t>
            </w:r>
          </w:p>
        </w:tc>
      </w:tr>
      <w:tr w:rsidR="008353DE" w:rsidRPr="002822CE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Commercial Clothes Washers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2010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2013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DOE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Refrigerated Beverage Vending Machines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2009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DOE</w:t>
            </w:r>
          </w:p>
        </w:tc>
      </w:tr>
      <w:tr w:rsidR="008353DE" w:rsidRPr="002822CE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Automatic Commercial Ice Makers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2010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Congress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noWrap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Electric Motors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1992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2007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2010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Congress</w:t>
            </w:r>
          </w:p>
        </w:tc>
      </w:tr>
      <w:tr w:rsidR="008353DE" w:rsidRPr="002822CE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Commercial Packaged Boilers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1992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2009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DOE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Packaged Terminal AC and HP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1992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2008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2010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DOE</w:t>
            </w:r>
          </w:p>
        </w:tc>
      </w:tr>
      <w:tr w:rsidR="008353DE" w:rsidRPr="002822CE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 xml:space="preserve">Commercial CAC and HPs (Water- and </w:t>
            </w:r>
            <w:proofErr w:type="spellStart"/>
            <w:r w:rsidRPr="002822CE">
              <w:rPr>
                <w:rFonts w:ascii="Arial Narrow" w:hAnsi="Arial Narrow" w:cs="Calibri"/>
                <w:color w:val="000000"/>
                <w:szCs w:val="20"/>
              </w:rPr>
              <w:t>Evaporatively</w:t>
            </w:r>
            <w:proofErr w:type="spellEnd"/>
            <w:r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  <w:r w:rsidRPr="002822CE">
              <w:rPr>
                <w:rFonts w:ascii="Arial Narrow" w:hAnsi="Arial Narrow" w:cs="Calibri"/>
                <w:color w:val="000000"/>
                <w:szCs w:val="20"/>
              </w:rPr>
              <w:t xml:space="preserve">Cooled) 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1992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2013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DOE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Hot Food Holding Cabinets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None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</w:tr>
      <w:tr w:rsidR="008353DE" w:rsidRPr="002822CE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tcBorders>
              <w:bottom w:val="single" w:sz="8" w:space="0" w:color="DDD9C3"/>
            </w:tcBorders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Water Dispensers</w:t>
            </w:r>
          </w:p>
        </w:tc>
        <w:tc>
          <w:tcPr>
            <w:tcW w:w="755" w:type="pct"/>
            <w:tcBorders>
              <w:bottom w:val="single" w:sz="8" w:space="0" w:color="DDD9C3"/>
            </w:tcBorders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None</w:t>
            </w:r>
          </w:p>
        </w:tc>
        <w:tc>
          <w:tcPr>
            <w:tcW w:w="755" w:type="pct"/>
            <w:tcBorders>
              <w:bottom w:val="single" w:sz="8" w:space="0" w:color="DDD9C3"/>
            </w:tcBorders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  <w:tc>
          <w:tcPr>
            <w:tcW w:w="755" w:type="pct"/>
            <w:tcBorders>
              <w:bottom w:val="single" w:sz="8" w:space="0" w:color="DDD9C3"/>
            </w:tcBorders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  <w:tc>
          <w:tcPr>
            <w:tcW w:w="755" w:type="pct"/>
            <w:tcBorders>
              <w:bottom w:val="single" w:sz="8" w:space="0" w:color="DDD9C3"/>
            </w:tcBorders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tcBorders>
              <w:bottom w:val="single" w:sz="8" w:space="0" w:color="365F91" w:themeColor="accent1" w:themeShade="BF"/>
            </w:tcBorders>
            <w:shd w:val="clear" w:color="auto" w:fill="C4BC96" w:themeFill="background2" w:themeFillShade="BF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b/>
                <w:bCs/>
                <w:color w:val="FFFFFF" w:themeColor="background1"/>
                <w:szCs w:val="20"/>
              </w:rPr>
            </w:pPr>
            <w:r w:rsidRPr="002822CE">
              <w:rPr>
                <w:rFonts w:ascii="Arial Narrow" w:hAnsi="Arial Narrow" w:cs="Calibri"/>
                <w:b/>
                <w:bCs/>
                <w:color w:val="FFFFFF" w:themeColor="background1"/>
                <w:szCs w:val="20"/>
              </w:rPr>
              <w:t>Lighting</w:t>
            </w:r>
          </w:p>
        </w:tc>
      </w:tr>
      <w:tr w:rsidR="008353DE" w:rsidRPr="002822CE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tcBorders>
              <w:top w:val="single" w:sz="8" w:space="0" w:color="365F91" w:themeColor="accent1" w:themeShade="BF"/>
            </w:tcBorders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 xml:space="preserve">General Service Incandescent Lamps </w:t>
            </w:r>
          </w:p>
        </w:tc>
        <w:tc>
          <w:tcPr>
            <w:tcW w:w="755" w:type="pct"/>
            <w:tcBorders>
              <w:top w:val="single" w:sz="8" w:space="0" w:color="365F91" w:themeColor="accent1" w:themeShade="BF"/>
            </w:tcBorders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None</w:t>
            </w:r>
          </w:p>
        </w:tc>
        <w:tc>
          <w:tcPr>
            <w:tcW w:w="755" w:type="pct"/>
            <w:tcBorders>
              <w:top w:val="single" w:sz="8" w:space="0" w:color="365F91" w:themeColor="accent1" w:themeShade="BF"/>
            </w:tcBorders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2007</w:t>
            </w:r>
          </w:p>
        </w:tc>
        <w:tc>
          <w:tcPr>
            <w:tcW w:w="755" w:type="pct"/>
            <w:tcBorders>
              <w:top w:val="single" w:sz="8" w:space="0" w:color="365F91" w:themeColor="accent1" w:themeShade="BF"/>
            </w:tcBorders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2012</w:t>
            </w:r>
          </w:p>
        </w:tc>
        <w:tc>
          <w:tcPr>
            <w:tcW w:w="755" w:type="pct"/>
            <w:tcBorders>
              <w:top w:val="single" w:sz="8" w:space="0" w:color="365F91" w:themeColor="accent1" w:themeShade="BF"/>
            </w:tcBorders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Congress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noWrap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General Service Fluorescent Lamps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1992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2009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DOE</w:t>
            </w:r>
          </w:p>
        </w:tc>
      </w:tr>
      <w:tr w:rsidR="008353DE" w:rsidRPr="002822CE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Fluorescent Lamp Ballasts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 xml:space="preserve">NAECA 1988 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2011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2014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DOE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Metal Halide Lamp Fixtures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EISA 2007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2007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2009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Congress</w:t>
            </w:r>
          </w:p>
        </w:tc>
      </w:tr>
      <w:tr w:rsidR="008353DE" w:rsidRPr="002822CE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Ceiling Fan Light Kits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2007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Congress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proofErr w:type="spellStart"/>
            <w:r w:rsidRPr="002822CE">
              <w:rPr>
                <w:rFonts w:ascii="Arial Narrow" w:hAnsi="Arial Narrow" w:cs="Calibri"/>
                <w:color w:val="000000"/>
                <w:szCs w:val="20"/>
              </w:rPr>
              <w:t>Torchieres</w:t>
            </w:r>
            <w:proofErr w:type="spellEnd"/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2006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Congress</w:t>
            </w:r>
          </w:p>
        </w:tc>
      </w:tr>
      <w:tr w:rsidR="008353DE" w:rsidRPr="002822CE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noWrap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Incandescent Reflector Lamps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1992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2009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DOE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Illuminated Exit Signs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2006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Congress</w:t>
            </w:r>
          </w:p>
        </w:tc>
      </w:tr>
      <w:tr w:rsidR="008353DE" w:rsidRPr="002822CE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Traffic Signal Modules and Pedestrian Modules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2006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Congress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Candelabra &amp; Intermediate Base Incandescent Lamps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None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2007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Congress</w:t>
            </w:r>
          </w:p>
        </w:tc>
      </w:tr>
      <w:tr w:rsidR="008353DE" w:rsidRPr="002822CE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Medium Base Compact Fluorescent Lamps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2006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Congress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tcBorders>
              <w:bottom w:val="single" w:sz="8" w:space="0" w:color="DDD9C3"/>
            </w:tcBorders>
            <w:noWrap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Mercury Vapor Lamp Ballasts</w:t>
            </w:r>
          </w:p>
        </w:tc>
        <w:tc>
          <w:tcPr>
            <w:tcW w:w="755" w:type="pct"/>
            <w:tcBorders>
              <w:bottom w:val="single" w:sz="8" w:space="0" w:color="DDD9C3"/>
            </w:tcBorders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2005</w:t>
            </w:r>
          </w:p>
        </w:tc>
        <w:tc>
          <w:tcPr>
            <w:tcW w:w="755" w:type="pct"/>
            <w:tcBorders>
              <w:bottom w:val="single" w:sz="8" w:space="0" w:color="DDD9C3"/>
            </w:tcBorders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2005</w:t>
            </w:r>
          </w:p>
        </w:tc>
        <w:tc>
          <w:tcPr>
            <w:tcW w:w="755" w:type="pct"/>
            <w:tcBorders>
              <w:bottom w:val="single" w:sz="8" w:space="0" w:color="DDD9C3"/>
            </w:tcBorders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2008</w:t>
            </w:r>
          </w:p>
        </w:tc>
        <w:tc>
          <w:tcPr>
            <w:tcW w:w="755" w:type="pct"/>
            <w:tcBorders>
              <w:bottom w:val="single" w:sz="8" w:space="0" w:color="DDD9C3"/>
            </w:tcBorders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Congress</w:t>
            </w:r>
          </w:p>
        </w:tc>
      </w:tr>
      <w:tr w:rsidR="008353DE" w:rsidRPr="002822CE" w:rsidTr="0050700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tcBorders>
              <w:bottom w:val="single" w:sz="8" w:space="0" w:color="365F91" w:themeColor="accent1" w:themeShade="BF"/>
            </w:tcBorders>
            <w:shd w:val="clear" w:color="auto" w:fill="C4BC96" w:themeFill="background2" w:themeFillShade="BF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b/>
                <w:bCs/>
                <w:color w:val="FFFFFF" w:themeColor="background1"/>
                <w:szCs w:val="20"/>
              </w:rPr>
            </w:pPr>
            <w:r w:rsidRPr="002822CE">
              <w:rPr>
                <w:rFonts w:ascii="Arial Narrow" w:hAnsi="Arial Narrow" w:cs="Calibri"/>
                <w:b/>
                <w:bCs/>
                <w:color w:val="FFFFFF" w:themeColor="background1"/>
                <w:szCs w:val="20"/>
              </w:rPr>
              <w:t xml:space="preserve">Products </w:t>
            </w:r>
            <w:r>
              <w:rPr>
                <w:rFonts w:ascii="Arial Narrow" w:hAnsi="Arial Narrow" w:cs="Calibri"/>
                <w:b/>
                <w:bCs/>
                <w:color w:val="FFFFFF" w:themeColor="background1"/>
                <w:szCs w:val="20"/>
              </w:rPr>
              <w:t>N</w:t>
            </w:r>
            <w:r w:rsidRPr="002822CE">
              <w:rPr>
                <w:rFonts w:ascii="Arial Narrow" w:hAnsi="Arial Narrow" w:cs="Calibri"/>
                <w:b/>
                <w:bCs/>
                <w:color w:val="FFFFFF" w:themeColor="background1"/>
                <w:szCs w:val="20"/>
              </w:rPr>
              <w:t xml:space="preserve">ot in </w:t>
            </w:r>
            <w:r>
              <w:rPr>
                <w:rFonts w:ascii="Arial Narrow" w:hAnsi="Arial Narrow" w:cs="Calibri"/>
                <w:b/>
                <w:bCs/>
                <w:color w:val="FFFFFF" w:themeColor="background1"/>
                <w:szCs w:val="20"/>
              </w:rPr>
              <w:t>E</w:t>
            </w:r>
            <w:r w:rsidRPr="002822CE">
              <w:rPr>
                <w:rFonts w:ascii="Arial Narrow" w:hAnsi="Arial Narrow" w:cs="Calibri"/>
                <w:b/>
                <w:bCs/>
                <w:color w:val="FFFFFF" w:themeColor="background1"/>
                <w:szCs w:val="20"/>
              </w:rPr>
              <w:t>ffect from 2005-201</w:t>
            </w:r>
            <w:r>
              <w:rPr>
                <w:rFonts w:ascii="Arial Narrow" w:hAnsi="Arial Narrow" w:cs="Calibri"/>
                <w:b/>
                <w:bCs/>
                <w:color w:val="FFFFFF" w:themeColor="background1"/>
                <w:szCs w:val="20"/>
              </w:rPr>
              <w:t>5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tcBorders>
              <w:top w:val="single" w:sz="8" w:space="0" w:color="365F91" w:themeColor="accent1" w:themeShade="BF"/>
            </w:tcBorders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Battery Chargers</w:t>
            </w:r>
          </w:p>
        </w:tc>
        <w:tc>
          <w:tcPr>
            <w:tcW w:w="755" w:type="pct"/>
            <w:tcBorders>
              <w:top w:val="single" w:sz="8" w:space="0" w:color="365F91" w:themeColor="accent1" w:themeShade="BF"/>
            </w:tcBorders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2005</w:t>
            </w:r>
          </w:p>
        </w:tc>
        <w:tc>
          <w:tcPr>
            <w:tcW w:w="755" w:type="pct"/>
            <w:tcBorders>
              <w:top w:val="single" w:sz="8" w:space="0" w:color="365F91" w:themeColor="accent1" w:themeShade="BF"/>
            </w:tcBorders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None</w:t>
            </w:r>
          </w:p>
        </w:tc>
        <w:tc>
          <w:tcPr>
            <w:tcW w:w="755" w:type="pct"/>
            <w:tcBorders>
              <w:top w:val="single" w:sz="8" w:space="0" w:color="365F91" w:themeColor="accent1" w:themeShade="BF"/>
            </w:tcBorders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None</w:t>
            </w:r>
          </w:p>
        </w:tc>
        <w:tc>
          <w:tcPr>
            <w:tcW w:w="755" w:type="pct"/>
            <w:tcBorders>
              <w:top w:val="single" w:sz="8" w:space="0" w:color="365F91" w:themeColor="accent1" w:themeShade="BF"/>
            </w:tcBorders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N/A</w:t>
            </w:r>
          </w:p>
        </w:tc>
      </w:tr>
      <w:tr w:rsidR="008353DE" w:rsidRPr="002822CE" w:rsidTr="0050700F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Microwave Ovens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NAECA 1987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None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None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DOE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Commercial Warm Air Furnaces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1992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2004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</w:tr>
      <w:tr w:rsidR="008353DE" w:rsidRPr="002822CE" w:rsidTr="0050700F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Commercial Water Heating Equipment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EPACT 1992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2001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2003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DOE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noWrap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High</w:t>
            </w:r>
            <w:r>
              <w:rPr>
                <w:rFonts w:ascii="Arial Narrow" w:hAnsi="Arial Narrow" w:cs="Calibri"/>
                <w:color w:val="000000"/>
                <w:szCs w:val="20"/>
              </w:rPr>
              <w:t>-</w:t>
            </w:r>
            <w:r w:rsidRPr="002822CE">
              <w:rPr>
                <w:rFonts w:ascii="Arial Narrow" w:hAnsi="Arial Narrow" w:cs="Calibri"/>
                <w:color w:val="000000"/>
                <w:szCs w:val="20"/>
              </w:rPr>
              <w:t>Intensity Discharge Lamps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not till 2017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 </w:t>
            </w:r>
          </w:p>
        </w:tc>
      </w:tr>
      <w:tr w:rsidR="008353DE" w:rsidRPr="002822CE" w:rsidTr="0050700F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noWrap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Residential Clothes Dryers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NAECA 1987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2011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DOE</w:t>
            </w:r>
          </w:p>
        </w:tc>
      </w:tr>
      <w:tr w:rsidR="008353DE" w:rsidRPr="002822CE" w:rsidTr="005070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Residential Water Heaters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NAECA 1987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2010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2015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DOE</w:t>
            </w:r>
          </w:p>
        </w:tc>
      </w:tr>
      <w:tr w:rsidR="008353DE" w:rsidRPr="002822CE" w:rsidTr="0050700F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pct"/>
            <w:hideMark/>
          </w:tcPr>
          <w:p w:rsidR="008353DE" w:rsidRPr="002822CE" w:rsidRDefault="008353DE" w:rsidP="0050700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Furnaces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NAECA 1987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2011 (revoked)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2013</w:t>
            </w:r>
          </w:p>
        </w:tc>
        <w:tc>
          <w:tcPr>
            <w:tcW w:w="755" w:type="pct"/>
            <w:noWrap/>
            <w:hideMark/>
          </w:tcPr>
          <w:p w:rsidR="008353DE" w:rsidRPr="002822CE" w:rsidRDefault="008353DE" w:rsidP="00507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Cs w:val="20"/>
              </w:rPr>
            </w:pPr>
            <w:r w:rsidRPr="002822CE">
              <w:rPr>
                <w:rFonts w:ascii="Arial Narrow" w:hAnsi="Arial Narrow" w:cs="Calibri"/>
                <w:color w:val="000000"/>
                <w:szCs w:val="20"/>
              </w:rPr>
              <w:t>DOE</w:t>
            </w:r>
          </w:p>
        </w:tc>
      </w:tr>
    </w:tbl>
    <w:p w:rsidR="003B1A2B" w:rsidRDefault="003B1A2B">
      <w:pPr>
        <w:rPr>
          <w:b/>
        </w:rPr>
        <w:sectPr w:rsidR="003B1A2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90EBA" w:rsidRPr="0050700F" w:rsidRDefault="0050700F" w:rsidP="0050700F">
      <w:pPr>
        <w:pStyle w:val="Caption"/>
        <w:jc w:val="left"/>
        <w:rPr>
          <w:color w:val="auto"/>
        </w:rPr>
      </w:pPr>
      <w:r w:rsidRPr="0050700F">
        <w:rPr>
          <w:color w:val="auto"/>
        </w:rPr>
        <w:lastRenderedPageBreak/>
        <w:t xml:space="preserve">Sample Data Form </w:t>
      </w:r>
    </w:p>
    <w:p w:rsidR="0050700F" w:rsidRPr="00DD5D3C" w:rsidRDefault="0050700F" w:rsidP="00DD5D3C">
      <w:r>
        <w:t xml:space="preserve">Input data of each standard analysis model are documented </w:t>
      </w:r>
      <w:r w:rsidR="001378B4">
        <w:t>in data forms, the following is an example:</w:t>
      </w:r>
      <w:r w:rsidR="00DD5D3C">
        <w:t xml:space="preserve"> </w:t>
      </w:r>
    </w:p>
    <w:p w:rsidR="0050700F" w:rsidRPr="0050700F" w:rsidRDefault="0050700F" w:rsidP="0050700F"/>
    <w:p w:rsidR="0050700F" w:rsidRPr="008353DE" w:rsidRDefault="0050700F" w:rsidP="0050700F">
      <w:pPr>
        <w:pStyle w:val="Caption"/>
      </w:pPr>
      <w:proofErr w:type="gramStart"/>
      <w:r>
        <w:t>Table 8</w:t>
      </w:r>
      <w:r>
        <w:rPr>
          <w:noProof/>
        </w:rPr>
        <w:t>.</w:t>
      </w:r>
      <w:proofErr w:type="gramEnd"/>
      <w:r w:rsidRPr="00CE2D3C">
        <w:t xml:space="preserve"> </w:t>
      </w:r>
      <w:r>
        <w:t xml:space="preserve">Residential Dishwashers Input Data for Standard Model  </w:t>
      </w:r>
    </w:p>
    <w:p w:rsidR="0050700F" w:rsidRDefault="0050700F" w:rsidP="00090EBA">
      <w:pPr>
        <w:ind w:right="113"/>
        <w:rPr>
          <w:rFonts w:ascii="Arial Narrow" w:hAnsi="Arial Narrow" w:cs="Calibri"/>
          <w:sz w:val="18"/>
          <w:szCs w:val="18"/>
        </w:rPr>
      </w:pPr>
    </w:p>
    <w:tbl>
      <w:tblPr>
        <w:tblStyle w:val="EnergyTable"/>
        <w:tblW w:w="5000" w:type="pct"/>
        <w:tblLayout w:type="fixed"/>
        <w:tblLook w:val="06A0" w:firstRow="1" w:lastRow="0" w:firstColumn="1" w:lastColumn="0" w:noHBand="1" w:noVBand="1"/>
      </w:tblPr>
      <w:tblGrid>
        <w:gridCol w:w="433"/>
        <w:gridCol w:w="1133"/>
        <w:gridCol w:w="1059"/>
        <w:gridCol w:w="817"/>
        <w:gridCol w:w="163"/>
        <w:gridCol w:w="2037"/>
        <w:gridCol w:w="1795"/>
        <w:gridCol w:w="403"/>
        <w:gridCol w:w="163"/>
        <w:gridCol w:w="2121"/>
        <w:gridCol w:w="3052"/>
      </w:tblGrid>
      <w:tr w:rsidR="00CE2F9D" w:rsidRPr="00D35F3D" w:rsidTr="006E7C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4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shd w:val="clear" w:color="auto" w:fill="C4BC96" w:themeFill="background2" w:themeFillShade="BF"/>
            <w:textDirection w:val="btLr"/>
            <w:hideMark/>
          </w:tcPr>
          <w:p w:rsidR="00CE2F9D" w:rsidRPr="00D35F3D" w:rsidRDefault="00CE2F9D" w:rsidP="006E7CAB">
            <w:pPr>
              <w:ind w:left="113" w:right="113"/>
              <w:rPr>
                <w:rFonts w:ascii="Arial Narrow" w:hAnsi="Arial Narrow" w:cs="Calibri"/>
                <w:b w:val="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b w:val="0"/>
                <w:sz w:val="18"/>
                <w:szCs w:val="18"/>
              </w:rPr>
              <w:t> </w:t>
            </w:r>
          </w:p>
        </w:tc>
        <w:tc>
          <w:tcPr>
            <w:tcW w:w="430" w:type="pct"/>
            <w:hideMark/>
          </w:tcPr>
          <w:p w:rsidR="00CE2F9D" w:rsidRPr="00D35F3D" w:rsidRDefault="00CE2F9D" w:rsidP="006E7CA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bCs/>
                <w:sz w:val="18"/>
                <w:szCs w:val="18"/>
              </w:rPr>
              <w:t xml:space="preserve">Input </w:t>
            </w:r>
          </w:p>
        </w:tc>
        <w:tc>
          <w:tcPr>
            <w:tcW w:w="402" w:type="pct"/>
            <w:hideMark/>
          </w:tcPr>
          <w:p w:rsidR="00CE2F9D" w:rsidRPr="00D35F3D" w:rsidRDefault="00CE2F9D" w:rsidP="006E7CA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bCs/>
                <w:sz w:val="18"/>
                <w:szCs w:val="18"/>
              </w:rPr>
              <w:t>Description</w:t>
            </w:r>
          </w:p>
        </w:tc>
        <w:tc>
          <w:tcPr>
            <w:tcW w:w="372" w:type="pct"/>
            <w:gridSpan w:val="2"/>
            <w:hideMark/>
          </w:tcPr>
          <w:p w:rsidR="00CE2F9D" w:rsidRPr="00D35F3D" w:rsidRDefault="00CE2F9D" w:rsidP="006E7CA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bCs/>
                <w:sz w:val="18"/>
                <w:szCs w:val="18"/>
              </w:rPr>
              <w:t>Regional Value Different from DOE NIA?</w:t>
            </w:r>
          </w:p>
        </w:tc>
        <w:tc>
          <w:tcPr>
            <w:tcW w:w="773" w:type="pct"/>
            <w:hideMark/>
          </w:tcPr>
          <w:p w:rsidR="00CE2F9D" w:rsidRPr="00D35F3D" w:rsidRDefault="00CE2F9D" w:rsidP="006E7CA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bCs/>
                <w:sz w:val="18"/>
                <w:szCs w:val="18"/>
              </w:rPr>
              <w:t xml:space="preserve">Regional Value </w:t>
            </w:r>
          </w:p>
        </w:tc>
        <w:tc>
          <w:tcPr>
            <w:tcW w:w="681" w:type="pct"/>
            <w:hideMark/>
          </w:tcPr>
          <w:p w:rsidR="00CE2F9D" w:rsidRPr="00D35F3D" w:rsidRDefault="00CE2F9D" w:rsidP="006E7CA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bCs/>
                <w:sz w:val="18"/>
                <w:szCs w:val="18"/>
              </w:rPr>
              <w:t xml:space="preserve">DOE Value </w:t>
            </w:r>
          </w:p>
        </w:tc>
        <w:tc>
          <w:tcPr>
            <w:tcW w:w="1020" w:type="pct"/>
            <w:gridSpan w:val="3"/>
            <w:hideMark/>
          </w:tcPr>
          <w:p w:rsidR="00CE2F9D" w:rsidRPr="00D35F3D" w:rsidRDefault="00CE2F9D" w:rsidP="006E7CA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bCs/>
                <w:sz w:val="18"/>
                <w:szCs w:val="18"/>
              </w:rPr>
              <w:t>Notes</w:t>
            </w:r>
          </w:p>
        </w:tc>
        <w:tc>
          <w:tcPr>
            <w:tcW w:w="1158" w:type="pct"/>
            <w:hideMark/>
          </w:tcPr>
          <w:p w:rsidR="00CE2F9D" w:rsidRPr="00D35F3D" w:rsidRDefault="00CE2F9D" w:rsidP="006E7CA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bCs/>
                <w:sz w:val="18"/>
                <w:szCs w:val="18"/>
              </w:rPr>
              <w:t xml:space="preserve">Data Source </w:t>
            </w:r>
          </w:p>
        </w:tc>
      </w:tr>
      <w:tr w:rsidR="00CE2F9D" w:rsidRPr="00D35F3D" w:rsidTr="006E7CAB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 w:val="restart"/>
            <w:tcBorders>
              <w:top w:val="single" w:sz="8" w:space="0" w:color="365F91" w:themeColor="accent1" w:themeShade="BF"/>
              <w:bottom w:val="single" w:sz="8" w:space="0" w:color="DDD9C3"/>
            </w:tcBorders>
            <w:shd w:val="clear" w:color="auto" w:fill="C4BC96" w:themeFill="background2" w:themeFillShade="BF"/>
            <w:textDirection w:val="btLr"/>
            <w:hideMark/>
          </w:tcPr>
          <w:p w:rsidR="00CE2F9D" w:rsidRPr="00D35F3D" w:rsidRDefault="00CE2F9D" w:rsidP="006E7CAB">
            <w:pPr>
              <w:ind w:left="113" w:right="113"/>
              <w:rPr>
                <w:rFonts w:ascii="Arial Narrow" w:hAnsi="Arial Narrow" w:cs="Calibri"/>
                <w:b/>
                <w:color w:val="FFFFFF" w:themeColor="background1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b/>
                <w:color w:val="FFFFFF" w:themeColor="background1"/>
                <w:sz w:val="18"/>
                <w:szCs w:val="18"/>
              </w:rPr>
              <w:t xml:space="preserve">Usage </w:t>
            </w:r>
          </w:p>
        </w:tc>
        <w:tc>
          <w:tcPr>
            <w:tcW w:w="430" w:type="pct"/>
            <w:tcBorders>
              <w:top w:val="single" w:sz="8" w:space="0" w:color="365F91" w:themeColor="accent1" w:themeShade="BF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Cycles per Year</w:t>
            </w:r>
          </w:p>
        </w:tc>
        <w:tc>
          <w:tcPr>
            <w:tcW w:w="402" w:type="pct"/>
            <w:tcBorders>
              <w:top w:val="single" w:sz="8" w:space="0" w:color="365F91" w:themeColor="accent1" w:themeShade="BF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Average annual washing cycle </w:t>
            </w:r>
          </w:p>
        </w:tc>
        <w:tc>
          <w:tcPr>
            <w:tcW w:w="372" w:type="pct"/>
            <w:gridSpan w:val="2"/>
            <w:tcBorders>
              <w:top w:val="single" w:sz="8" w:space="0" w:color="365F91" w:themeColor="accent1" w:themeShade="BF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Yes, different from DOE</w:t>
            </w:r>
          </w:p>
        </w:tc>
        <w:tc>
          <w:tcPr>
            <w:tcW w:w="773" w:type="pct"/>
            <w:tcBorders>
              <w:top w:val="single" w:sz="8" w:space="0" w:color="365F91" w:themeColor="accent1" w:themeShade="BF"/>
            </w:tcBorders>
            <w:shd w:val="clear" w:color="auto" w:fill="FFFF00"/>
            <w:hideMark/>
          </w:tcPr>
          <w:p w:rsidR="00CE2F9D" w:rsidRPr="00193867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sz w:val="18"/>
                <w:szCs w:val="18"/>
              </w:rPr>
            </w:pPr>
            <w:r w:rsidRPr="00193867">
              <w:rPr>
                <w:rFonts w:ascii="Arial Narrow" w:hAnsi="Arial Narrow" w:cs="Calibri"/>
                <w:sz w:val="18"/>
                <w:szCs w:val="18"/>
              </w:rPr>
              <w:t>5P/6P: 215 cycles/</w:t>
            </w:r>
            <w:proofErr w:type="spellStart"/>
            <w:r w:rsidRPr="00193867">
              <w:rPr>
                <w:rFonts w:ascii="Arial Narrow" w:hAnsi="Arial Narrow" w:cs="Calibri"/>
                <w:sz w:val="18"/>
                <w:szCs w:val="18"/>
              </w:rPr>
              <w:t>yr</w:t>
            </w:r>
            <w:proofErr w:type="spellEnd"/>
            <w:r w:rsidRPr="00193867">
              <w:rPr>
                <w:rFonts w:ascii="Arial Narrow" w:hAnsi="Arial Narrow" w:cs="Calibri"/>
                <w:sz w:val="18"/>
                <w:szCs w:val="18"/>
              </w:rPr>
              <w:t xml:space="preserve"> (For all Res Housing Types); </w:t>
            </w:r>
          </w:p>
          <w:p w:rsidR="00CE2F9D" w:rsidRPr="00193867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sz w:val="18"/>
                <w:szCs w:val="18"/>
              </w:rPr>
            </w:pPr>
            <w:r w:rsidRPr="00193867">
              <w:rPr>
                <w:rFonts w:ascii="Arial Narrow" w:hAnsi="Arial Narrow" w:cs="Calibri"/>
                <w:sz w:val="18"/>
                <w:szCs w:val="18"/>
              </w:rPr>
              <w:t>RBSA (2012): 170 cycles/</w:t>
            </w:r>
            <w:proofErr w:type="spellStart"/>
            <w:r w:rsidRPr="00193867">
              <w:rPr>
                <w:rFonts w:ascii="Arial Narrow" w:hAnsi="Arial Narrow" w:cs="Calibri"/>
                <w:sz w:val="18"/>
                <w:szCs w:val="18"/>
              </w:rPr>
              <w:t>yr</w:t>
            </w:r>
            <w:proofErr w:type="spellEnd"/>
            <w:r w:rsidRPr="00193867">
              <w:rPr>
                <w:rFonts w:ascii="Arial Narrow" w:hAnsi="Arial Narrow" w:cs="Calibri"/>
                <w:sz w:val="18"/>
                <w:szCs w:val="18"/>
              </w:rPr>
              <w:t xml:space="preserve"> (Single Family)</w:t>
            </w:r>
          </w:p>
          <w:p w:rsidR="00CE2F9D" w:rsidRPr="00193867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sz w:val="18"/>
                <w:szCs w:val="18"/>
              </w:rPr>
            </w:pPr>
            <w:r w:rsidRPr="00193867">
              <w:rPr>
                <w:rFonts w:ascii="Arial Narrow" w:hAnsi="Arial Narrow" w:cs="Calibri"/>
                <w:sz w:val="18"/>
                <w:szCs w:val="18"/>
              </w:rPr>
              <w:t>RBSA (2012): 109 cycles/</w:t>
            </w:r>
            <w:proofErr w:type="spellStart"/>
            <w:r w:rsidRPr="00193867">
              <w:rPr>
                <w:rFonts w:ascii="Arial Narrow" w:hAnsi="Arial Narrow" w:cs="Calibri"/>
                <w:sz w:val="18"/>
                <w:szCs w:val="18"/>
              </w:rPr>
              <w:t>yr</w:t>
            </w:r>
            <w:proofErr w:type="spellEnd"/>
            <w:r w:rsidRPr="00193867">
              <w:rPr>
                <w:rFonts w:ascii="Arial Narrow" w:hAnsi="Arial Narrow" w:cs="Calibri"/>
                <w:sz w:val="18"/>
                <w:szCs w:val="18"/>
              </w:rPr>
              <w:t xml:space="preserve"> (Multi-Family)</w:t>
            </w:r>
          </w:p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sz w:val="18"/>
                <w:szCs w:val="18"/>
              </w:rPr>
            </w:pPr>
            <w:r w:rsidRPr="00193867">
              <w:rPr>
                <w:rFonts w:ascii="Arial Narrow" w:hAnsi="Arial Narrow" w:cs="Calibri"/>
                <w:sz w:val="18"/>
                <w:szCs w:val="18"/>
              </w:rPr>
              <w:t>RBSA (2012): 116 cycles/</w:t>
            </w:r>
            <w:proofErr w:type="spellStart"/>
            <w:r w:rsidRPr="00193867">
              <w:rPr>
                <w:rFonts w:ascii="Arial Narrow" w:hAnsi="Arial Narrow" w:cs="Calibri"/>
                <w:sz w:val="18"/>
                <w:szCs w:val="18"/>
              </w:rPr>
              <w:t>yr</w:t>
            </w:r>
            <w:proofErr w:type="spellEnd"/>
            <w:r w:rsidRPr="00193867">
              <w:rPr>
                <w:rFonts w:ascii="Arial Narrow" w:hAnsi="Arial Narrow" w:cs="Calibri"/>
                <w:sz w:val="18"/>
                <w:szCs w:val="18"/>
              </w:rPr>
              <w:t xml:space="preserve"> (Manufactured Homes)</w:t>
            </w:r>
          </w:p>
        </w:tc>
        <w:tc>
          <w:tcPr>
            <w:tcW w:w="681" w:type="pct"/>
            <w:tcBorders>
              <w:top w:val="single" w:sz="8" w:space="0" w:color="365F91" w:themeColor="accent1" w:themeShade="BF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1020" w:type="pct"/>
            <w:gridSpan w:val="3"/>
            <w:tcBorders>
              <w:top w:val="single" w:sz="8" w:space="0" w:color="365F91" w:themeColor="accent1" w:themeShade="BF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sz w:val="18"/>
                <w:szCs w:val="18"/>
              </w:rPr>
              <w:t xml:space="preserve">Update with RBSA values for Single Family and Manufactured Homes. Options for multi-family are either 5P/6P 215 cycles per year or RBSA 2012 170 cycles per year (single family) used for multi-family. </w:t>
            </w:r>
          </w:p>
        </w:tc>
        <w:tc>
          <w:tcPr>
            <w:tcW w:w="1158" w:type="pct"/>
            <w:tcBorders>
              <w:top w:val="single" w:sz="8" w:space="0" w:color="365F91" w:themeColor="accent1" w:themeShade="BF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RBSA (2012), NW Council Supply Curve: EStarResDishwasherFY09v1_0, DOE RES Dishwasher NIA</w:t>
            </w:r>
          </w:p>
        </w:tc>
      </w:tr>
      <w:tr w:rsidR="00CE2F9D" w:rsidRPr="00D35F3D" w:rsidTr="006E7CAB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  <w:tcBorders>
              <w:bottom w:val="single" w:sz="8" w:space="0" w:color="DDD9C3"/>
            </w:tcBorders>
            <w:shd w:val="clear" w:color="auto" w:fill="C4BC96" w:themeFill="background2" w:themeFillShade="BF"/>
            <w:textDirection w:val="btLr"/>
            <w:hideMark/>
          </w:tcPr>
          <w:p w:rsidR="00CE2F9D" w:rsidRPr="00D35F3D" w:rsidRDefault="00CE2F9D" w:rsidP="006E7CAB">
            <w:pPr>
              <w:ind w:left="113" w:right="113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Water Heating Fuel Share</w:t>
            </w:r>
          </w:p>
        </w:tc>
        <w:tc>
          <w:tcPr>
            <w:tcW w:w="402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DHW heating market share by fuel type </w:t>
            </w:r>
          </w:p>
        </w:tc>
        <w:tc>
          <w:tcPr>
            <w:tcW w:w="372" w:type="pct"/>
            <w:gridSpan w:val="2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Yes, different from DOE</w:t>
            </w:r>
          </w:p>
        </w:tc>
        <w:tc>
          <w:tcPr>
            <w:tcW w:w="773" w:type="pct"/>
            <w:shd w:val="clear" w:color="auto" w:fill="FFFF00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2F3325">
              <w:rPr>
                <w:rFonts w:ascii="Arial Narrow" w:hAnsi="Arial Narrow" w:cs="Calibri"/>
                <w:color w:val="000000"/>
                <w:sz w:val="18"/>
                <w:szCs w:val="18"/>
              </w:rPr>
              <w:t>55% electric (Single Family);95% electric (Multi-Family); 89% electric (Manufactured Housing)</w:t>
            </w:r>
          </w:p>
        </w:tc>
        <w:tc>
          <w:tcPr>
            <w:tcW w:w="681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37% electric, 59% gas, 4% oil</w:t>
            </w:r>
          </w:p>
        </w:tc>
        <w:tc>
          <w:tcPr>
            <w:tcW w:w="1020" w:type="pct"/>
            <w:gridSpan w:val="3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Regional water heating fuel share is used </w:t>
            </w:r>
          </w:p>
        </w:tc>
        <w:tc>
          <w:tcPr>
            <w:tcW w:w="1158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RBSA (2012)</w:t>
            </w:r>
          </w:p>
        </w:tc>
      </w:tr>
      <w:tr w:rsidR="00CE2F9D" w:rsidRPr="00D35F3D" w:rsidTr="006E7CAB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  <w:tcBorders>
              <w:bottom w:val="single" w:sz="8" w:space="0" w:color="DDD9C3"/>
            </w:tcBorders>
            <w:shd w:val="clear" w:color="auto" w:fill="C4BC96" w:themeFill="background2" w:themeFillShade="BF"/>
            <w:textDirection w:val="btLr"/>
            <w:hideMark/>
          </w:tcPr>
          <w:p w:rsidR="00CE2F9D" w:rsidRPr="00D35F3D" w:rsidRDefault="00CE2F9D" w:rsidP="006E7CAB">
            <w:pPr>
              <w:ind w:left="113" w:right="113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5P Baseline Device Efficiency</w:t>
            </w:r>
          </w:p>
        </w:tc>
        <w:tc>
          <w:tcPr>
            <w:tcW w:w="402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5th Plan baseline device efficiency tiers</w:t>
            </w:r>
          </w:p>
        </w:tc>
        <w:tc>
          <w:tcPr>
            <w:tcW w:w="372" w:type="pct"/>
            <w:gridSpan w:val="2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Yes, different from DOE</w:t>
            </w:r>
          </w:p>
        </w:tc>
        <w:tc>
          <w:tcPr>
            <w:tcW w:w="773" w:type="pct"/>
            <w:shd w:val="clear" w:color="auto" w:fill="FFFF00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Prior Federal Standard EF46 used as Baseline (Standard Configuration), 2005-2009</w:t>
            </w:r>
          </w:p>
        </w:tc>
        <w:tc>
          <w:tcPr>
            <w:tcW w:w="681" w:type="pct"/>
            <w:vMerge w:val="restart"/>
            <w:hideMark/>
          </w:tcPr>
          <w:p w:rsidR="00CE2F9D" w:rsidRPr="00D913FE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913FE">
              <w:rPr>
                <w:rFonts w:ascii="Arial Narrow" w:hAnsi="Arial Narrow" w:cs="Calibri"/>
                <w:color w:val="000000"/>
                <w:sz w:val="18"/>
                <w:szCs w:val="18"/>
              </w:rPr>
              <w:t>6 Efficiency Levels for Standard Configuration Dishwashers and three Efficiency Levels for Compact Configuration Dishwashers</w:t>
            </w:r>
          </w:p>
        </w:tc>
        <w:tc>
          <w:tcPr>
            <w:tcW w:w="1020" w:type="pct"/>
            <w:gridSpan w:val="3"/>
            <w:vMerge w:val="restar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DOE has more efficiency tiers and product classes</w:t>
            </w:r>
          </w:p>
        </w:tc>
        <w:tc>
          <w:tcPr>
            <w:tcW w:w="1158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NW Council Supply Curve: EStarResDishwasherFY09v1_0, DOE RES Dishwasher NIA</w:t>
            </w:r>
          </w:p>
        </w:tc>
      </w:tr>
      <w:tr w:rsidR="00CE2F9D" w:rsidRPr="00D35F3D" w:rsidTr="006E7CAB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  <w:tcBorders>
              <w:bottom w:val="single" w:sz="8" w:space="0" w:color="DDD9C3"/>
            </w:tcBorders>
            <w:shd w:val="clear" w:color="auto" w:fill="C4BC96" w:themeFill="background2" w:themeFillShade="BF"/>
            <w:textDirection w:val="btLr"/>
            <w:hideMark/>
          </w:tcPr>
          <w:p w:rsidR="00CE2F9D" w:rsidRPr="00D35F3D" w:rsidRDefault="00CE2F9D" w:rsidP="006E7CAB">
            <w:pPr>
              <w:ind w:left="113" w:right="113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6P Baseline Device Efficiency</w:t>
            </w:r>
          </w:p>
        </w:tc>
        <w:tc>
          <w:tcPr>
            <w:tcW w:w="402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Sixth Plan baseline device efficiency tiers</w:t>
            </w:r>
          </w:p>
        </w:tc>
        <w:tc>
          <w:tcPr>
            <w:tcW w:w="372" w:type="pct"/>
            <w:gridSpan w:val="2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Yes, different from DOE</w:t>
            </w:r>
          </w:p>
        </w:tc>
        <w:tc>
          <w:tcPr>
            <w:tcW w:w="773" w:type="pct"/>
            <w:shd w:val="clear" w:color="auto" w:fill="FFFF00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Energy Star EF65 used as Baseline (Standard Configuration), 2010-2034</w:t>
            </w:r>
          </w:p>
        </w:tc>
        <w:tc>
          <w:tcPr>
            <w:tcW w:w="681" w:type="pct"/>
            <w:vMerge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1020" w:type="pct"/>
            <w:gridSpan w:val="3"/>
            <w:vMerge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1158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NW Council Supply Curve: EStarResDishwasherFY09v1_0, DOE RES Dishwasher NIA</w:t>
            </w:r>
          </w:p>
        </w:tc>
      </w:tr>
      <w:tr w:rsidR="00CE2F9D" w:rsidRPr="00D35F3D" w:rsidTr="006E7CAB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  <w:tcBorders>
              <w:bottom w:val="single" w:sz="8" w:space="0" w:color="DDD9C3"/>
            </w:tcBorders>
            <w:shd w:val="clear" w:color="auto" w:fill="C4BC96" w:themeFill="background2" w:themeFillShade="BF"/>
            <w:textDirection w:val="btLr"/>
            <w:hideMark/>
          </w:tcPr>
          <w:p w:rsidR="00CE2F9D" w:rsidRPr="00D35F3D" w:rsidRDefault="00CE2F9D" w:rsidP="006E7CAB">
            <w:pPr>
              <w:ind w:left="113" w:right="113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tcBorders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2010 Standard Device Efficiency </w:t>
            </w:r>
          </w:p>
        </w:tc>
        <w:tc>
          <w:tcPr>
            <w:tcW w:w="402" w:type="pct"/>
            <w:tcBorders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Device efficiency after standard took effect</w:t>
            </w:r>
          </w:p>
        </w:tc>
        <w:tc>
          <w:tcPr>
            <w:tcW w:w="372" w:type="pct"/>
            <w:gridSpan w:val="2"/>
            <w:tcBorders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Yes, different from DOE</w:t>
            </w:r>
          </w:p>
        </w:tc>
        <w:tc>
          <w:tcPr>
            <w:tcW w:w="773" w:type="pct"/>
            <w:tcBorders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Prior Federal Standard EF46 (484 kWh/</w:t>
            </w:r>
            <w:proofErr w:type="spellStart"/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yr</w:t>
            </w:r>
            <w:proofErr w:type="spellEnd"/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681" w:type="pct"/>
            <w:tcBorders>
              <w:bottom w:val="single" w:sz="8" w:space="0" w:color="DDD9C3"/>
            </w:tcBorders>
            <w:shd w:val="clear" w:color="auto" w:fill="FFFF00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Standard Configuration - 2010 Federal Standard: EF 61 (355 kWh/</w:t>
            </w:r>
            <w:proofErr w:type="spellStart"/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yr</w:t>
            </w:r>
            <w:proofErr w:type="spellEnd"/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)</w:t>
            </w: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br/>
              <w:t>Compact Configuration - 2010 Federal Standard: EF 83 (260 kWh/</w:t>
            </w:r>
            <w:proofErr w:type="spellStart"/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yr</w:t>
            </w:r>
            <w:proofErr w:type="spellEnd"/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20" w:type="pct"/>
            <w:gridSpan w:val="3"/>
            <w:vMerge w:val="restart"/>
            <w:tcBorders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Council's Sixth Plan baseline (Energy Star EF 65) is more efficient than the 2010 Federal Standard for Standard Configuration Dishwashers (EF 61). </w:t>
            </w:r>
          </w:p>
        </w:tc>
        <w:tc>
          <w:tcPr>
            <w:tcW w:w="1158" w:type="pct"/>
            <w:vMerge w:val="restart"/>
            <w:tcBorders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NW Council Supply Curve: EStarResDishwasherFY09v1_0, DOE RES Dishwasher NIA</w:t>
            </w:r>
          </w:p>
        </w:tc>
      </w:tr>
      <w:tr w:rsidR="00CE2F9D" w:rsidRPr="00D35F3D" w:rsidTr="006E7CAB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  <w:tcBorders>
              <w:bottom w:val="single" w:sz="8" w:space="0" w:color="DDD9C3"/>
            </w:tcBorders>
            <w:shd w:val="clear" w:color="auto" w:fill="C4BC96" w:themeFill="background2" w:themeFillShade="BF"/>
            <w:textDirection w:val="btLr"/>
            <w:hideMark/>
          </w:tcPr>
          <w:p w:rsidR="00CE2F9D" w:rsidRPr="00D35F3D" w:rsidRDefault="00CE2F9D" w:rsidP="006E7CAB">
            <w:pPr>
              <w:ind w:left="113" w:right="113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tcBorders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2013 Standard Device Efficiency </w:t>
            </w:r>
          </w:p>
        </w:tc>
        <w:tc>
          <w:tcPr>
            <w:tcW w:w="402" w:type="pct"/>
            <w:tcBorders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Device efficiency after standard took effect</w:t>
            </w:r>
          </w:p>
        </w:tc>
        <w:tc>
          <w:tcPr>
            <w:tcW w:w="372" w:type="pct"/>
            <w:gridSpan w:val="2"/>
            <w:tcBorders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Yes, different from DOE</w:t>
            </w:r>
          </w:p>
        </w:tc>
        <w:tc>
          <w:tcPr>
            <w:tcW w:w="773" w:type="pct"/>
            <w:tcBorders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Energy Star EF65 (330 kWh/</w:t>
            </w:r>
            <w:proofErr w:type="spellStart"/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yr</w:t>
            </w:r>
            <w:proofErr w:type="spellEnd"/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681" w:type="pct"/>
            <w:tcBorders>
              <w:bottom w:val="single" w:sz="8" w:space="0" w:color="DDD9C3"/>
            </w:tcBorders>
            <w:shd w:val="clear" w:color="auto" w:fill="FFFF00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Standard Configuration - 2013 Federal Standard: EF 70 (307 kWh/</w:t>
            </w:r>
            <w:proofErr w:type="spellStart"/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yr</w:t>
            </w:r>
            <w:proofErr w:type="spellEnd"/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)</w:t>
            </w: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br/>
              <w:t>Compact Configuration - 2013 Federal Standard: EF 97 (222 kWh/</w:t>
            </w:r>
            <w:proofErr w:type="spellStart"/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yr</w:t>
            </w:r>
            <w:proofErr w:type="spellEnd"/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20" w:type="pct"/>
            <w:gridSpan w:val="3"/>
            <w:vMerge/>
            <w:tcBorders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1158" w:type="pct"/>
            <w:vMerge/>
            <w:tcBorders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</w:tr>
      <w:tr w:rsidR="00CE2F9D" w:rsidRPr="00D35F3D" w:rsidTr="006E7CAB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 w:val="restart"/>
            <w:tcBorders>
              <w:top w:val="single" w:sz="8" w:space="0" w:color="DDD9C3"/>
              <w:bottom w:val="single" w:sz="8" w:space="0" w:color="DDD9C3"/>
            </w:tcBorders>
            <w:shd w:val="clear" w:color="auto" w:fill="C4BC96" w:themeFill="background2" w:themeFillShade="BF"/>
            <w:textDirection w:val="btLr"/>
            <w:hideMark/>
          </w:tcPr>
          <w:p w:rsidR="00CE2F9D" w:rsidRPr="00D35F3D" w:rsidRDefault="00CE2F9D" w:rsidP="006E7CAB">
            <w:pPr>
              <w:ind w:left="113" w:right="113"/>
              <w:rPr>
                <w:rFonts w:ascii="Arial Narrow" w:hAnsi="Arial Narrow" w:cs="Calibri"/>
                <w:b/>
                <w:color w:val="FFFFFF" w:themeColor="background1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b/>
                <w:color w:val="FFFFFF" w:themeColor="background1"/>
                <w:sz w:val="18"/>
                <w:szCs w:val="18"/>
              </w:rPr>
              <w:t xml:space="preserve">Market </w:t>
            </w:r>
          </w:p>
        </w:tc>
        <w:tc>
          <w:tcPr>
            <w:tcW w:w="430" w:type="pct"/>
            <w:tcBorders>
              <w:top w:val="single" w:sz="8" w:space="0" w:color="DDD9C3"/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Pre-C</w:t>
            </w: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ase product class distribution </w:t>
            </w:r>
          </w:p>
        </w:tc>
        <w:tc>
          <w:tcPr>
            <w:tcW w:w="402" w:type="pct"/>
            <w:tcBorders>
              <w:top w:val="single" w:sz="8" w:space="0" w:color="DDD9C3"/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Number of product class(s) and distribution if standard did not exist </w:t>
            </w:r>
          </w:p>
        </w:tc>
        <w:tc>
          <w:tcPr>
            <w:tcW w:w="310" w:type="pct"/>
            <w:tcBorders>
              <w:top w:val="single" w:sz="8" w:space="0" w:color="DDD9C3"/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Yes, different from DOE</w:t>
            </w:r>
          </w:p>
        </w:tc>
        <w:tc>
          <w:tcPr>
            <w:tcW w:w="835" w:type="pct"/>
            <w:gridSpan w:val="2"/>
            <w:tcBorders>
              <w:top w:val="single" w:sz="8" w:space="0" w:color="DDD9C3"/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1 product class (Standard Configuration) with the same EF</w:t>
            </w:r>
          </w:p>
        </w:tc>
        <w:tc>
          <w:tcPr>
            <w:tcW w:w="681" w:type="pct"/>
            <w:tcBorders>
              <w:top w:val="single" w:sz="8" w:space="0" w:color="DDD9C3"/>
              <w:bottom w:val="single" w:sz="8" w:space="0" w:color="DDD9C3"/>
            </w:tcBorders>
            <w:shd w:val="clear" w:color="auto" w:fill="FFFF00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2 product classes with different EF's ; 99.8% Standard Configuration and 0.20% Compact Configuration</w:t>
            </w:r>
          </w:p>
        </w:tc>
        <w:tc>
          <w:tcPr>
            <w:tcW w:w="1020" w:type="pct"/>
            <w:gridSpan w:val="3"/>
            <w:tcBorders>
              <w:top w:val="single" w:sz="8" w:space="0" w:color="DDD9C3"/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The </w:t>
            </w: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C</w:t>
            </w: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ouncil's baseline did not distinguish Standard vs. Compact configuration equipment. Suggest to analyze standard configuration only for simplicity</w:t>
            </w:r>
          </w:p>
        </w:tc>
        <w:tc>
          <w:tcPr>
            <w:tcW w:w="1158" w:type="pct"/>
            <w:tcBorders>
              <w:top w:val="single" w:sz="8" w:space="0" w:color="DDD9C3"/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NW Council Supply Curve: EStarResDishwasherFY09v1_0, DOE RES Dishwasher NIA</w:t>
            </w:r>
          </w:p>
        </w:tc>
      </w:tr>
      <w:tr w:rsidR="00CE2F9D" w:rsidRPr="00D35F3D" w:rsidTr="006E7CAB">
        <w:trPr>
          <w:trHeight w:val="18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  <w:tcBorders>
              <w:top w:val="single" w:sz="8" w:space="0" w:color="DDD9C3"/>
            </w:tcBorders>
            <w:shd w:val="clear" w:color="auto" w:fill="C4BC96" w:themeFill="background2" w:themeFillShade="BF"/>
            <w:textDirection w:val="btLr"/>
            <w:hideMark/>
          </w:tcPr>
          <w:p w:rsidR="00CE2F9D" w:rsidRPr="00D35F3D" w:rsidRDefault="00CE2F9D" w:rsidP="006E7CAB">
            <w:pPr>
              <w:ind w:left="113" w:right="113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Post-Case</w:t>
            </w: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case product class distribution </w:t>
            </w:r>
          </w:p>
        </w:tc>
        <w:tc>
          <w:tcPr>
            <w:tcW w:w="402" w:type="pct"/>
            <w:tcBorders>
              <w:top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Number of product class(s) and distribution factoring in the effective standard</w:t>
            </w:r>
          </w:p>
        </w:tc>
        <w:tc>
          <w:tcPr>
            <w:tcW w:w="310" w:type="pct"/>
            <w:tcBorders>
              <w:top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Yes, different from DOE</w:t>
            </w:r>
          </w:p>
        </w:tc>
        <w:tc>
          <w:tcPr>
            <w:tcW w:w="835" w:type="pct"/>
            <w:gridSpan w:val="2"/>
            <w:tcBorders>
              <w:top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Not applicable since the 2013 standard was not included in 5P/6P. 6P baseline is above 2010 standard level. </w:t>
            </w:r>
          </w:p>
        </w:tc>
        <w:tc>
          <w:tcPr>
            <w:tcW w:w="681" w:type="pct"/>
            <w:tcBorders>
              <w:top w:val="single" w:sz="8" w:space="0" w:color="DDD9C3"/>
            </w:tcBorders>
            <w:shd w:val="clear" w:color="auto" w:fill="FFFF00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2 product classes with different EF's ; 99.8% Standard Configuration and 0.20% Compact Configuration for 2010 standard and 2013 standard years</w:t>
            </w:r>
          </w:p>
        </w:tc>
        <w:tc>
          <w:tcPr>
            <w:tcW w:w="1020" w:type="pct"/>
            <w:gridSpan w:val="3"/>
            <w:tcBorders>
              <w:top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The </w:t>
            </w: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C</w:t>
            </w: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ouncil's baseline did not distinguish Standard vs. Compact configuration equipment. Suggest </w:t>
            </w:r>
            <w:proofErr w:type="gramStart"/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to analyze</w:t>
            </w:r>
            <w:proofErr w:type="gramEnd"/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standard configuration only. Note that Council's Sixth Plan baseline (Energy Star EF 65) is more efficient than the 2010 Federal Standard for Standard Configuration Dishwashers (EF 61). </w:t>
            </w:r>
          </w:p>
        </w:tc>
        <w:tc>
          <w:tcPr>
            <w:tcW w:w="1158" w:type="pct"/>
            <w:tcBorders>
              <w:top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NW Council Supply Curve: EStarResDishwasherFY09v1_0, DOE RES Dishwasher NIA</w:t>
            </w:r>
          </w:p>
        </w:tc>
      </w:tr>
      <w:tr w:rsidR="00CE2F9D" w:rsidRPr="00D35F3D" w:rsidTr="006E7CAB">
        <w:trPr>
          <w:trHeight w:val="9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  <w:shd w:val="clear" w:color="auto" w:fill="C4BC96" w:themeFill="background2" w:themeFillShade="BF"/>
            <w:textDirection w:val="btLr"/>
            <w:hideMark/>
          </w:tcPr>
          <w:p w:rsidR="00CE2F9D" w:rsidRPr="00D35F3D" w:rsidRDefault="00CE2F9D" w:rsidP="006E7CAB">
            <w:pPr>
              <w:ind w:left="113" w:right="113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Pre-Case</w:t>
            </w: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efficiency level distribution</w:t>
            </w:r>
          </w:p>
        </w:tc>
        <w:tc>
          <w:tcPr>
            <w:tcW w:w="402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Efficiency distribution of each product class if standard did not exist </w:t>
            </w:r>
          </w:p>
        </w:tc>
        <w:tc>
          <w:tcPr>
            <w:tcW w:w="310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Yes, different from DOE</w:t>
            </w:r>
          </w:p>
        </w:tc>
        <w:tc>
          <w:tcPr>
            <w:tcW w:w="835" w:type="pct"/>
            <w:gridSpan w:val="2"/>
            <w:shd w:val="clear" w:color="auto" w:fill="FFFFFF" w:themeFill="background1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100% at EF 46 from 2005-2009; 100% at EF 65 from 2010-2034</w:t>
            </w:r>
          </w:p>
        </w:tc>
        <w:tc>
          <w:tcPr>
            <w:tcW w:w="681" w:type="pct"/>
            <w:shd w:val="clear" w:color="auto" w:fill="FFFF00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913FE">
              <w:rPr>
                <w:rFonts w:ascii="Arial Narrow" w:hAnsi="Arial Narrow" w:cs="Calibri"/>
                <w:color w:val="000000"/>
                <w:sz w:val="18"/>
                <w:szCs w:val="18"/>
              </w:rPr>
              <w:t>Weighted average of 197 kWh/</w:t>
            </w:r>
            <w:proofErr w:type="spellStart"/>
            <w:r w:rsidRPr="00D913FE">
              <w:rPr>
                <w:rFonts w:ascii="Arial Narrow" w:hAnsi="Arial Narrow" w:cs="Calibri"/>
                <w:color w:val="000000"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020" w:type="pct"/>
            <w:gridSpan w:val="3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Using frozen efficiency as the </w:t>
            </w: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Pre-C</w:t>
            </w: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ase</w:t>
            </w:r>
          </w:p>
        </w:tc>
        <w:tc>
          <w:tcPr>
            <w:tcW w:w="1158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NW Council Supply Curve: EStarResDishwasherFY09v1_0, DOE RES Dishwasher NIA</w:t>
            </w:r>
          </w:p>
        </w:tc>
      </w:tr>
      <w:tr w:rsidR="00CE2F9D" w:rsidRPr="00D35F3D" w:rsidTr="006E7CAB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  <w:shd w:val="clear" w:color="auto" w:fill="C4BC96" w:themeFill="background2" w:themeFillShade="BF"/>
            <w:textDirection w:val="btLr"/>
            <w:hideMark/>
          </w:tcPr>
          <w:p w:rsidR="00CE2F9D" w:rsidRPr="00D35F3D" w:rsidRDefault="00CE2F9D" w:rsidP="006E7CAB">
            <w:pPr>
              <w:ind w:left="113" w:right="113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Post-Case</w:t>
            </w: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efficiency level distribution </w:t>
            </w:r>
          </w:p>
        </w:tc>
        <w:tc>
          <w:tcPr>
            <w:tcW w:w="402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Efficiency distribution of each product class factoring in the effective standard </w:t>
            </w:r>
          </w:p>
        </w:tc>
        <w:tc>
          <w:tcPr>
            <w:tcW w:w="310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Yes, different from DOE</w:t>
            </w:r>
          </w:p>
        </w:tc>
        <w:tc>
          <w:tcPr>
            <w:tcW w:w="835" w:type="pct"/>
            <w:gridSpan w:val="2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Not applicable since the 2013 standard was not included in 5P/6P Baselines</w:t>
            </w:r>
          </w:p>
        </w:tc>
        <w:tc>
          <w:tcPr>
            <w:tcW w:w="681" w:type="pct"/>
            <w:shd w:val="clear" w:color="auto" w:fill="FFFF00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913FE">
              <w:rPr>
                <w:rFonts w:ascii="Arial Narrow" w:hAnsi="Arial Narrow" w:cs="Calibri"/>
                <w:color w:val="000000"/>
                <w:sz w:val="18"/>
                <w:szCs w:val="18"/>
              </w:rPr>
              <w:t>Weighted average of 187 kWh/</w:t>
            </w:r>
            <w:proofErr w:type="spellStart"/>
            <w:r w:rsidRPr="00D913FE">
              <w:rPr>
                <w:rFonts w:ascii="Arial Narrow" w:hAnsi="Arial Narrow" w:cs="Calibri"/>
                <w:color w:val="000000"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1020" w:type="pct"/>
            <w:gridSpan w:val="3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100% compliance after standard effective year in 2013. </w:t>
            </w:r>
          </w:p>
        </w:tc>
        <w:tc>
          <w:tcPr>
            <w:tcW w:w="1158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Modeling assumption/DOE RES Dishwasher NIA</w:t>
            </w:r>
          </w:p>
        </w:tc>
      </w:tr>
      <w:tr w:rsidR="00CE2F9D" w:rsidRPr="00D35F3D" w:rsidTr="006E7CAB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  <w:tcBorders>
              <w:bottom w:val="single" w:sz="8" w:space="0" w:color="DDD9C3"/>
            </w:tcBorders>
            <w:shd w:val="clear" w:color="auto" w:fill="C4BC96" w:themeFill="background2" w:themeFillShade="BF"/>
            <w:textDirection w:val="btLr"/>
            <w:hideMark/>
          </w:tcPr>
          <w:p w:rsidR="00CE2F9D" w:rsidRPr="00D35F3D" w:rsidRDefault="00CE2F9D" w:rsidP="006E7CAB">
            <w:pPr>
              <w:ind w:left="113" w:right="113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tcBorders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Appliance Saturation </w:t>
            </w:r>
          </w:p>
        </w:tc>
        <w:tc>
          <w:tcPr>
            <w:tcW w:w="402" w:type="pct"/>
            <w:tcBorders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Saturation rate of Res Dishwashers in the NW region </w:t>
            </w:r>
          </w:p>
        </w:tc>
        <w:tc>
          <w:tcPr>
            <w:tcW w:w="310" w:type="pct"/>
            <w:tcBorders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No, same as DOE</w:t>
            </w:r>
          </w:p>
        </w:tc>
        <w:tc>
          <w:tcPr>
            <w:tcW w:w="835" w:type="pct"/>
            <w:gridSpan w:val="2"/>
            <w:tcBorders>
              <w:bottom w:val="single" w:sz="8" w:space="0" w:color="DDD9C3"/>
            </w:tcBorders>
            <w:shd w:val="clear" w:color="auto" w:fill="FFFF00"/>
            <w:hideMark/>
          </w:tcPr>
          <w:p w:rsidR="00CE2F9D" w:rsidRPr="002F3325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2F332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5P/6P: 67% </w:t>
            </w:r>
          </w:p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2F3325">
              <w:rPr>
                <w:rFonts w:ascii="Arial Narrow" w:hAnsi="Arial Narrow" w:cs="Calibri"/>
                <w:color w:val="000000"/>
                <w:sz w:val="18"/>
                <w:szCs w:val="18"/>
              </w:rPr>
              <w:t>RBSA 2012: 89% (SF); 65% (Multi-Family); 77% (Manufactured)</w:t>
            </w:r>
          </w:p>
        </w:tc>
        <w:tc>
          <w:tcPr>
            <w:tcW w:w="681" w:type="pct"/>
            <w:tcBorders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DOE 2011: 96.7%</w:t>
            </w:r>
          </w:p>
        </w:tc>
        <w:tc>
          <w:tcPr>
            <w:tcW w:w="1020" w:type="pct"/>
            <w:gridSpan w:val="3"/>
            <w:tcBorders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Use RBSA 2012 value </w:t>
            </w:r>
          </w:p>
        </w:tc>
        <w:tc>
          <w:tcPr>
            <w:tcW w:w="1158" w:type="pct"/>
            <w:tcBorders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RBSA 2012 </w:t>
            </w:r>
          </w:p>
        </w:tc>
      </w:tr>
      <w:tr w:rsidR="00CE2F9D" w:rsidRPr="00D35F3D" w:rsidTr="006E7CAB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 w:val="restart"/>
            <w:tcBorders>
              <w:top w:val="single" w:sz="8" w:space="0" w:color="DDD9C3"/>
              <w:bottom w:val="single" w:sz="8" w:space="0" w:color="DDD9C3"/>
            </w:tcBorders>
            <w:shd w:val="clear" w:color="auto" w:fill="C4BC96" w:themeFill="background2" w:themeFillShade="BF"/>
            <w:textDirection w:val="btLr"/>
            <w:hideMark/>
          </w:tcPr>
          <w:p w:rsidR="00CE2F9D" w:rsidRPr="00D35F3D" w:rsidRDefault="00CE2F9D" w:rsidP="006E7CAB">
            <w:pPr>
              <w:ind w:left="113" w:right="113"/>
              <w:rPr>
                <w:rFonts w:ascii="Arial Narrow" w:hAnsi="Arial Narrow" w:cs="Calibri"/>
                <w:b/>
                <w:color w:val="FFFFFF" w:themeColor="background1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b/>
                <w:color w:val="FFFFFF" w:themeColor="background1"/>
                <w:sz w:val="18"/>
                <w:szCs w:val="18"/>
              </w:rPr>
              <w:t xml:space="preserve">Stock Model </w:t>
            </w:r>
          </w:p>
        </w:tc>
        <w:tc>
          <w:tcPr>
            <w:tcW w:w="430" w:type="pct"/>
            <w:tcBorders>
              <w:top w:val="single" w:sz="8" w:space="0" w:color="DDD9C3"/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Historical Replacement Units Shipment in 2005</w:t>
            </w:r>
          </w:p>
        </w:tc>
        <w:tc>
          <w:tcPr>
            <w:tcW w:w="402" w:type="pct"/>
            <w:tcBorders>
              <w:top w:val="single" w:sz="8" w:space="0" w:color="DDD9C3"/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Number of residential dishwashers shipped to region in 2005</w:t>
            </w:r>
          </w:p>
        </w:tc>
        <w:tc>
          <w:tcPr>
            <w:tcW w:w="310" w:type="pct"/>
            <w:tcBorders>
              <w:top w:val="single" w:sz="8" w:space="0" w:color="DDD9C3"/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Not applicable </w:t>
            </w:r>
          </w:p>
        </w:tc>
        <w:tc>
          <w:tcPr>
            <w:tcW w:w="835" w:type="pct"/>
            <w:gridSpan w:val="2"/>
            <w:tcBorders>
              <w:top w:val="single" w:sz="8" w:space="0" w:color="DDD9C3"/>
              <w:bottom w:val="single" w:sz="8" w:space="0" w:color="DDD9C3"/>
            </w:tcBorders>
            <w:shd w:val="clear" w:color="auto" w:fill="FFFF00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Data from supply curve </w:t>
            </w:r>
          </w:p>
        </w:tc>
        <w:tc>
          <w:tcPr>
            <w:tcW w:w="896" w:type="pct"/>
            <w:gridSpan w:val="3"/>
            <w:tcBorders>
              <w:top w:val="single" w:sz="8" w:space="0" w:color="DDD9C3"/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Not applicable </w:t>
            </w:r>
          </w:p>
        </w:tc>
        <w:tc>
          <w:tcPr>
            <w:tcW w:w="805" w:type="pct"/>
            <w:tcBorders>
              <w:top w:val="single" w:sz="8" w:space="0" w:color="DDD9C3"/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Regional numbers </w:t>
            </w:r>
          </w:p>
        </w:tc>
        <w:tc>
          <w:tcPr>
            <w:tcW w:w="1158" w:type="pct"/>
            <w:tcBorders>
              <w:top w:val="single" w:sz="8" w:space="0" w:color="DDD9C3"/>
              <w:bottom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PNW Residential Sector Load Forecast Copied from PNWResSectorSupplyCurveUnits_6th_Fnl workbook</w:t>
            </w:r>
          </w:p>
        </w:tc>
      </w:tr>
      <w:tr w:rsidR="00CE2F9D" w:rsidRPr="00D35F3D" w:rsidTr="006E7CAB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  <w:tcBorders>
              <w:top w:val="single" w:sz="8" w:space="0" w:color="DDD9C3"/>
            </w:tcBorders>
            <w:shd w:val="clear" w:color="auto" w:fill="C4BC96" w:themeFill="background2" w:themeFillShade="BF"/>
            <w:textDirection w:val="btLr"/>
            <w:hideMark/>
          </w:tcPr>
          <w:p w:rsidR="00CE2F9D" w:rsidRPr="00D35F3D" w:rsidRDefault="00CE2F9D" w:rsidP="006E7CAB">
            <w:pPr>
              <w:ind w:left="113" w:right="113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New Construction forecast </w:t>
            </w:r>
          </w:p>
        </w:tc>
        <w:tc>
          <w:tcPr>
            <w:tcW w:w="402" w:type="pct"/>
            <w:tcBorders>
              <w:top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New construction forecast from 2005-2030</w:t>
            </w:r>
          </w:p>
        </w:tc>
        <w:tc>
          <w:tcPr>
            <w:tcW w:w="310" w:type="pct"/>
            <w:tcBorders>
              <w:top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Not applicable </w:t>
            </w:r>
          </w:p>
        </w:tc>
        <w:tc>
          <w:tcPr>
            <w:tcW w:w="835" w:type="pct"/>
            <w:gridSpan w:val="2"/>
            <w:tcBorders>
              <w:top w:val="single" w:sz="8" w:space="0" w:color="DDD9C3"/>
            </w:tcBorders>
            <w:shd w:val="clear" w:color="auto" w:fill="FFFF00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Data from supply curve </w:t>
            </w:r>
          </w:p>
        </w:tc>
        <w:tc>
          <w:tcPr>
            <w:tcW w:w="896" w:type="pct"/>
            <w:gridSpan w:val="3"/>
            <w:tcBorders>
              <w:top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Not applicable </w:t>
            </w:r>
          </w:p>
        </w:tc>
        <w:tc>
          <w:tcPr>
            <w:tcW w:w="805" w:type="pct"/>
            <w:tcBorders>
              <w:top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Regional numbers </w:t>
            </w:r>
          </w:p>
        </w:tc>
        <w:tc>
          <w:tcPr>
            <w:tcW w:w="1158" w:type="pct"/>
            <w:tcBorders>
              <w:top w:val="single" w:sz="8" w:space="0" w:color="DDD9C3"/>
            </w:tcBorders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PNW Residential Sector Load Forecast Copied from PNWResSectorSupplyCurveUnits_6th_Fnl workbook</w:t>
            </w:r>
          </w:p>
        </w:tc>
      </w:tr>
      <w:tr w:rsidR="00CE2F9D" w:rsidRPr="00D35F3D" w:rsidTr="006E7CAB">
        <w:trPr>
          <w:trHeight w:val="2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  <w:shd w:val="clear" w:color="auto" w:fill="C4BC96" w:themeFill="background2" w:themeFillShade="BF"/>
            <w:textDirection w:val="btLr"/>
            <w:hideMark/>
          </w:tcPr>
          <w:p w:rsidR="00CE2F9D" w:rsidRPr="00D35F3D" w:rsidRDefault="00CE2F9D" w:rsidP="006E7CAB">
            <w:pPr>
              <w:ind w:left="113" w:right="113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Product Lifetime</w:t>
            </w:r>
          </w:p>
        </w:tc>
        <w:tc>
          <w:tcPr>
            <w:tcW w:w="402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Res Dishwasher Product Lifetime</w:t>
            </w:r>
          </w:p>
        </w:tc>
        <w:tc>
          <w:tcPr>
            <w:tcW w:w="372" w:type="pct"/>
            <w:gridSpan w:val="2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Yes, different from DOE </w:t>
            </w:r>
          </w:p>
        </w:tc>
        <w:tc>
          <w:tcPr>
            <w:tcW w:w="773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5P/6P: 9 </w:t>
            </w:r>
            <w:proofErr w:type="spellStart"/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yrs</w:t>
            </w:r>
            <w:proofErr w:type="spellEnd"/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br/>
              <w:t>RTF UES measure workbook: 15.43</w:t>
            </w:r>
          </w:p>
        </w:tc>
        <w:tc>
          <w:tcPr>
            <w:tcW w:w="834" w:type="pct"/>
            <w:gridSpan w:val="2"/>
            <w:shd w:val="clear" w:color="auto" w:fill="FFFF00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15.43</w:t>
            </w:r>
          </w:p>
        </w:tc>
        <w:tc>
          <w:tcPr>
            <w:tcW w:w="867" w:type="pct"/>
            <w:gridSpan w:val="2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ACEE commented that the residential dishwasher lifetime should be 11 years on average. DOE NIA uses a 15.43 years average lifetime value based on an analysis of residential dishwasher lifetimes in the field. RTF claims 9 years from assumption in "PNWResSectorSupplyCurveUnits_6th_Fnl" workbook. Using DOE value as it is more current and has been updated to 15.43 years in the TSD based on field research. </w:t>
            </w:r>
          </w:p>
        </w:tc>
        <w:tc>
          <w:tcPr>
            <w:tcW w:w="1158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sz w:val="18"/>
                <w:szCs w:val="18"/>
              </w:rPr>
            </w:pPr>
            <w:hyperlink r:id="rId7" w:history="1">
              <w:r w:rsidRPr="00D35F3D">
                <w:rPr>
                  <w:rFonts w:ascii="Arial Narrow" w:hAnsi="Arial Narrow" w:cs="Calibri"/>
                  <w:sz w:val="18"/>
                  <w:szCs w:val="18"/>
                </w:rPr>
                <w:t>DOE source: https://www.federalregister.gov/articles/2012/10/01/2012-23953/energy-conservation-program-energy-conservation-standards-for-dishwashers</w:t>
              </w:r>
            </w:hyperlink>
          </w:p>
        </w:tc>
      </w:tr>
      <w:tr w:rsidR="00CE2F9D" w:rsidRPr="00D35F3D" w:rsidTr="006E7CAB">
        <w:trPr>
          <w:trHeight w:val="1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  <w:shd w:val="clear" w:color="auto" w:fill="C4BC96" w:themeFill="background2" w:themeFillShade="BF"/>
            <w:textDirection w:val="btLr"/>
            <w:hideMark/>
          </w:tcPr>
          <w:p w:rsidR="00CE2F9D" w:rsidRPr="00D35F3D" w:rsidRDefault="00CE2F9D" w:rsidP="006E7CAB">
            <w:pPr>
              <w:ind w:left="113" w:right="113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Turnover assumption </w:t>
            </w:r>
          </w:p>
        </w:tc>
        <w:tc>
          <w:tcPr>
            <w:tcW w:w="402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Product retirement rate </w:t>
            </w:r>
          </w:p>
        </w:tc>
        <w:tc>
          <w:tcPr>
            <w:tcW w:w="372" w:type="pct"/>
            <w:gridSpan w:val="2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Yes, different from DOE </w:t>
            </w:r>
          </w:p>
        </w:tc>
        <w:tc>
          <w:tcPr>
            <w:tcW w:w="773" w:type="pct"/>
            <w:shd w:val="clear" w:color="auto" w:fill="FFFF00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1/lif</w:t>
            </w: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  <w:shd w:val="clear" w:color="auto" w:fill="FFFF00"/>
              </w:rPr>
              <w:t xml:space="preserve">etime </w:t>
            </w:r>
          </w:p>
        </w:tc>
        <w:tc>
          <w:tcPr>
            <w:tcW w:w="834" w:type="pct"/>
            <w:gridSpan w:val="2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Estimated using survey results from RECS and the U.S. Census American Housing Survey along with historic data on appliance shipments. Survival function (Variability characterized using </w:t>
            </w:r>
            <w:proofErr w:type="spellStart"/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Weibull</w:t>
            </w:r>
            <w:proofErr w:type="spellEnd"/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probability distribution)</w:t>
            </w:r>
          </w:p>
        </w:tc>
        <w:tc>
          <w:tcPr>
            <w:tcW w:w="867" w:type="pct"/>
            <w:gridSpan w:val="2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The 1/lifetime assumption is consistent with the </w:t>
            </w: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C</w:t>
            </w: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ouncil's modeling practice. However, we can consider using survival functions. </w:t>
            </w:r>
          </w:p>
        </w:tc>
        <w:tc>
          <w:tcPr>
            <w:tcW w:w="1158" w:type="pct"/>
            <w:hideMark/>
          </w:tcPr>
          <w:p w:rsidR="00CE2F9D" w:rsidRPr="00D35F3D" w:rsidRDefault="00CE2F9D" w:rsidP="006E7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t>PNW Residential Sector Load Forecast Copied from PNWResSectorSupplyCurveUnits_6th_Fnl workbook</w:t>
            </w:r>
            <w:r w:rsidRPr="00D35F3D">
              <w:rPr>
                <w:rFonts w:ascii="Arial Narrow" w:hAnsi="Arial Narrow" w:cs="Calibri"/>
                <w:color w:val="000000"/>
                <w:sz w:val="18"/>
                <w:szCs w:val="18"/>
              </w:rPr>
              <w:br/>
              <w:t>http://www1.eere.energy.gov/buildings/appliance_standards/pdfs/dw_direct_final_rule_5_14_2012.pdf</w:t>
            </w:r>
          </w:p>
        </w:tc>
      </w:tr>
    </w:tbl>
    <w:p w:rsidR="00CE2F9D" w:rsidRPr="0050700F" w:rsidRDefault="00CE2F9D" w:rsidP="00090EBA">
      <w:pPr>
        <w:ind w:right="113"/>
        <w:rPr>
          <w:rFonts w:ascii="Arial Narrow" w:hAnsi="Arial Narrow" w:cs="Calibri"/>
          <w:sz w:val="18"/>
          <w:szCs w:val="18"/>
        </w:rPr>
        <w:sectPr w:rsidR="00CE2F9D" w:rsidRPr="0050700F" w:rsidSect="0050700F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  <w:bookmarkStart w:id="14" w:name="_GoBack"/>
      <w:bookmarkEnd w:id="14"/>
    </w:p>
    <w:p w:rsidR="008353DE" w:rsidRPr="008353DE" w:rsidRDefault="008353DE">
      <w:pPr>
        <w:rPr>
          <w:b/>
        </w:rPr>
      </w:pPr>
    </w:p>
    <w:sectPr w:rsidR="008353DE" w:rsidRPr="008353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7F3" w:rsidRDefault="007847F3" w:rsidP="009F03AF">
      <w:r>
        <w:separator/>
      </w:r>
    </w:p>
  </w:endnote>
  <w:endnote w:type="continuationSeparator" w:id="0">
    <w:p w:rsidR="007847F3" w:rsidRDefault="007847F3" w:rsidP="009F0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7F3" w:rsidRDefault="007847F3" w:rsidP="009F03AF">
      <w:r>
        <w:separator/>
      </w:r>
    </w:p>
  </w:footnote>
  <w:footnote w:type="continuationSeparator" w:id="0">
    <w:p w:rsidR="007847F3" w:rsidRDefault="007847F3" w:rsidP="009F03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3AF"/>
    <w:rsid w:val="00036952"/>
    <w:rsid w:val="00050F78"/>
    <w:rsid w:val="000738D4"/>
    <w:rsid w:val="00090899"/>
    <w:rsid w:val="00090EBA"/>
    <w:rsid w:val="000F1EF7"/>
    <w:rsid w:val="00130BF0"/>
    <w:rsid w:val="001378B4"/>
    <w:rsid w:val="00223A8F"/>
    <w:rsid w:val="00251647"/>
    <w:rsid w:val="002A67AB"/>
    <w:rsid w:val="00324ECC"/>
    <w:rsid w:val="003B1A2B"/>
    <w:rsid w:val="003D6C6C"/>
    <w:rsid w:val="0044064A"/>
    <w:rsid w:val="0050700F"/>
    <w:rsid w:val="0064132C"/>
    <w:rsid w:val="007847F3"/>
    <w:rsid w:val="007F494F"/>
    <w:rsid w:val="008353DE"/>
    <w:rsid w:val="008E03C6"/>
    <w:rsid w:val="00963BE0"/>
    <w:rsid w:val="009F03AF"/>
    <w:rsid w:val="00A16219"/>
    <w:rsid w:val="00A177F6"/>
    <w:rsid w:val="00AB32A8"/>
    <w:rsid w:val="00BD19E0"/>
    <w:rsid w:val="00C25F15"/>
    <w:rsid w:val="00CA1FB8"/>
    <w:rsid w:val="00CE2F9D"/>
    <w:rsid w:val="00CF4C10"/>
    <w:rsid w:val="00D057B0"/>
    <w:rsid w:val="00D56FEC"/>
    <w:rsid w:val="00DC364C"/>
    <w:rsid w:val="00DD5D3C"/>
    <w:rsid w:val="00DE0AF0"/>
    <w:rsid w:val="00E74266"/>
    <w:rsid w:val="00EA0E26"/>
    <w:rsid w:val="00EF260E"/>
    <w:rsid w:val="00F1302E"/>
    <w:rsid w:val="00FB2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3AF"/>
    <w:pPr>
      <w:spacing w:after="0" w:line="240" w:lineRule="auto"/>
    </w:pPr>
    <w:rPr>
      <w:rFonts w:ascii="Palatino Linotype" w:eastAsia="Times New Roman" w:hAnsi="Palatino Linotype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0F1EF7"/>
    <w:pPr>
      <w:spacing w:after="0" w:line="240" w:lineRule="auto"/>
    </w:pPr>
    <w:tblPr/>
  </w:style>
  <w:style w:type="table" w:customStyle="1" w:styleId="EnergyTable">
    <w:name w:val="Energy Table"/>
    <w:basedOn w:val="TableNormal"/>
    <w:uiPriority w:val="99"/>
    <w:qFormat/>
    <w:rsid w:val="000F1EF7"/>
    <w:pPr>
      <w:spacing w:after="0" w:line="240" w:lineRule="auto"/>
    </w:pPr>
    <w:rPr>
      <w:rFonts w:ascii="Palatino Linotype" w:eastAsia="Times New Roman" w:hAnsi="Palatino Linotype" w:cs="Times New Roman"/>
      <w:sz w:val="20"/>
      <w:szCs w:val="20"/>
    </w:rPr>
    <w:tblPr>
      <w:tblStyleRowBandSize w:val="1"/>
      <w:jc w:val="center"/>
      <w:tblBorders>
        <w:top w:val="single" w:sz="8" w:space="0" w:color="DDD9C3"/>
        <w:bottom w:val="single" w:sz="8" w:space="0" w:color="92876D"/>
        <w:insideH w:val="single" w:sz="8" w:space="0" w:color="DDD9C3"/>
      </w:tblBorders>
    </w:tblPr>
    <w:trPr>
      <w:cantSplit/>
      <w:jc w:val="center"/>
    </w:trPr>
    <w:tblStylePr w:type="firstRow">
      <w:rPr>
        <w:rFonts w:ascii="Palatino Linotype" w:hAnsi="Palatino Linotype"/>
        <w:b/>
        <w:color w:val="FFFFFF" w:themeColor="background1"/>
      </w:rPr>
      <w:tblPr/>
      <w:tcPr>
        <w:shd w:val="clear" w:color="auto" w:fill="92876D"/>
      </w:tcPr>
    </w:tblStylePr>
    <w:tblStylePr w:type="lastRow">
      <w:tblPr/>
      <w:tcPr>
        <w:tcBorders>
          <w:top w:val="double" w:sz="4" w:space="0" w:color="92876D"/>
        </w:tcBorders>
      </w:tcPr>
    </w:tblStylePr>
    <w:tblStylePr w:type="firstCol">
      <w:rPr>
        <w:rFonts w:ascii="Palatino Linotype" w:hAnsi="Palatino Linotype"/>
        <w:b w:val="0"/>
        <w:color w:val="auto"/>
      </w:rPr>
    </w:tblStylePr>
    <w:tblStylePr w:type="band2Horz">
      <w:tblPr/>
      <w:tcPr>
        <w:shd w:val="clear" w:color="auto" w:fill="DDD9C3"/>
      </w:tcPr>
    </w:tblStylePr>
  </w:style>
  <w:style w:type="character" w:styleId="FootnoteReference">
    <w:name w:val="footnote reference"/>
    <w:basedOn w:val="DefaultParagraphFont"/>
    <w:uiPriority w:val="99"/>
    <w:semiHidden/>
    <w:rsid w:val="009F03AF"/>
    <w:rPr>
      <w:vertAlign w:val="superscript"/>
    </w:rPr>
  </w:style>
  <w:style w:type="paragraph" w:styleId="Caption">
    <w:name w:val="caption"/>
    <w:basedOn w:val="Normal"/>
    <w:next w:val="Normal"/>
    <w:link w:val="CaptionChar"/>
    <w:qFormat/>
    <w:rsid w:val="009F03AF"/>
    <w:pPr>
      <w:keepNext/>
      <w:spacing w:after="120"/>
      <w:jc w:val="center"/>
    </w:pPr>
    <w:rPr>
      <w:b/>
      <w:bCs/>
      <w:color w:val="993300"/>
      <w:szCs w:val="20"/>
    </w:rPr>
  </w:style>
  <w:style w:type="character" w:customStyle="1" w:styleId="CaptionChar">
    <w:name w:val="Caption Char"/>
    <w:basedOn w:val="DefaultParagraphFont"/>
    <w:link w:val="Caption"/>
    <w:rsid w:val="009F03AF"/>
    <w:rPr>
      <w:rFonts w:ascii="Palatino Linotype" w:eastAsia="Times New Roman" w:hAnsi="Palatino Linotype" w:cs="Times New Roman"/>
      <w:b/>
      <w:bCs/>
      <w:color w:val="9933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3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3D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3AF"/>
    <w:pPr>
      <w:spacing w:after="0" w:line="240" w:lineRule="auto"/>
    </w:pPr>
    <w:rPr>
      <w:rFonts w:ascii="Palatino Linotype" w:eastAsia="Times New Roman" w:hAnsi="Palatino Linotype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0F1EF7"/>
    <w:pPr>
      <w:spacing w:after="0" w:line="240" w:lineRule="auto"/>
    </w:pPr>
    <w:tblPr/>
  </w:style>
  <w:style w:type="table" w:customStyle="1" w:styleId="EnergyTable">
    <w:name w:val="Energy Table"/>
    <w:basedOn w:val="TableNormal"/>
    <w:uiPriority w:val="99"/>
    <w:qFormat/>
    <w:rsid w:val="000F1EF7"/>
    <w:pPr>
      <w:spacing w:after="0" w:line="240" w:lineRule="auto"/>
    </w:pPr>
    <w:rPr>
      <w:rFonts w:ascii="Palatino Linotype" w:eastAsia="Times New Roman" w:hAnsi="Palatino Linotype" w:cs="Times New Roman"/>
      <w:sz w:val="20"/>
      <w:szCs w:val="20"/>
    </w:rPr>
    <w:tblPr>
      <w:tblStyleRowBandSize w:val="1"/>
      <w:jc w:val="center"/>
      <w:tblBorders>
        <w:top w:val="single" w:sz="8" w:space="0" w:color="DDD9C3"/>
        <w:bottom w:val="single" w:sz="8" w:space="0" w:color="92876D"/>
        <w:insideH w:val="single" w:sz="8" w:space="0" w:color="DDD9C3"/>
      </w:tblBorders>
    </w:tblPr>
    <w:trPr>
      <w:cantSplit/>
      <w:jc w:val="center"/>
    </w:trPr>
    <w:tblStylePr w:type="firstRow">
      <w:rPr>
        <w:rFonts w:ascii="Palatino Linotype" w:hAnsi="Palatino Linotype"/>
        <w:b/>
        <w:color w:val="FFFFFF" w:themeColor="background1"/>
      </w:rPr>
      <w:tblPr/>
      <w:tcPr>
        <w:shd w:val="clear" w:color="auto" w:fill="92876D"/>
      </w:tcPr>
    </w:tblStylePr>
    <w:tblStylePr w:type="lastRow">
      <w:tblPr/>
      <w:tcPr>
        <w:tcBorders>
          <w:top w:val="double" w:sz="4" w:space="0" w:color="92876D"/>
        </w:tcBorders>
      </w:tcPr>
    </w:tblStylePr>
    <w:tblStylePr w:type="firstCol">
      <w:rPr>
        <w:rFonts w:ascii="Palatino Linotype" w:hAnsi="Palatino Linotype"/>
        <w:b w:val="0"/>
        <w:color w:val="auto"/>
      </w:rPr>
    </w:tblStylePr>
    <w:tblStylePr w:type="band2Horz">
      <w:tblPr/>
      <w:tcPr>
        <w:shd w:val="clear" w:color="auto" w:fill="DDD9C3"/>
      </w:tcPr>
    </w:tblStylePr>
  </w:style>
  <w:style w:type="character" w:styleId="FootnoteReference">
    <w:name w:val="footnote reference"/>
    <w:basedOn w:val="DefaultParagraphFont"/>
    <w:uiPriority w:val="99"/>
    <w:semiHidden/>
    <w:rsid w:val="009F03AF"/>
    <w:rPr>
      <w:vertAlign w:val="superscript"/>
    </w:rPr>
  </w:style>
  <w:style w:type="paragraph" w:styleId="Caption">
    <w:name w:val="caption"/>
    <w:basedOn w:val="Normal"/>
    <w:next w:val="Normal"/>
    <w:link w:val="CaptionChar"/>
    <w:qFormat/>
    <w:rsid w:val="009F03AF"/>
    <w:pPr>
      <w:keepNext/>
      <w:spacing w:after="120"/>
      <w:jc w:val="center"/>
    </w:pPr>
    <w:rPr>
      <w:b/>
      <w:bCs/>
      <w:color w:val="993300"/>
      <w:szCs w:val="20"/>
    </w:rPr>
  </w:style>
  <w:style w:type="character" w:customStyle="1" w:styleId="CaptionChar">
    <w:name w:val="Caption Char"/>
    <w:basedOn w:val="DefaultParagraphFont"/>
    <w:link w:val="Caption"/>
    <w:rsid w:val="009F03AF"/>
    <w:rPr>
      <w:rFonts w:ascii="Palatino Linotype" w:eastAsia="Times New Roman" w:hAnsi="Palatino Linotype" w:cs="Times New Roman"/>
      <w:b/>
      <w:bCs/>
      <w:color w:val="9933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3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3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ederalregister.gov/articles/2012/10/01/2012-23953/energy-conservation-program-energy-conservation-standards-for-dishwasher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1983</Words>
  <Characters>11306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Navigant</Company>
  <LinksUpToDate>false</LinksUpToDate>
  <CharactersWithSpaces>13263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Angie Lee</dc:creator>
  <cp:lastModifiedBy>Navigant</cp:lastModifiedBy>
  <cp:revision>2</cp:revision>
  <dcterms:created xsi:type="dcterms:W3CDTF">2014-07-21T01:19:00Z</dcterms:created>
  <dcterms:modified xsi:type="dcterms:W3CDTF">2014-07-21T01:19:00Z</dcterms:modified>
</cp:coreProperties>
</file>